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FD14" w14:textId="58E49581" w:rsidR="008C060B" w:rsidRPr="005379EA" w:rsidRDefault="00832162" w:rsidP="003B0663">
      <w:pPr>
        <w:spacing w:line="360" w:lineRule="atLeast"/>
        <w:rPr>
          <w:rFonts w:ascii="Verdana" w:hAnsi="Verdana" w:cs="Times New Roman"/>
          <w:b/>
          <w:sz w:val="28"/>
          <w:szCs w:val="32"/>
        </w:rPr>
      </w:pPr>
      <w:bookmarkStart w:id="0" w:name="_GoBack"/>
      <w:bookmarkEnd w:id="0"/>
      <w:r>
        <w:rPr>
          <w:rFonts w:ascii="Verdana" w:hAnsi="Verdana" w:cs="Times New Roman"/>
          <w:b/>
          <w:sz w:val="28"/>
          <w:szCs w:val="32"/>
        </w:rPr>
        <w:t>Pressemitteilung</w:t>
      </w:r>
    </w:p>
    <w:p w14:paraId="7835A1AF" w14:textId="75521C6C" w:rsidR="00DF537A" w:rsidRPr="005379EA" w:rsidRDefault="00DA57B7" w:rsidP="00DF537A">
      <w:pPr>
        <w:spacing w:line="280" w:lineRule="atLeast"/>
        <w:rPr>
          <w:rFonts w:ascii="Verdana" w:hAnsi="Verdana" w:cs="Times New Roman"/>
          <w:b/>
          <w:sz w:val="32"/>
          <w:szCs w:val="32"/>
        </w:rPr>
      </w:pPr>
      <w:r w:rsidRPr="00DA57B7">
        <w:rPr>
          <w:rFonts w:ascii="Verdana" w:hAnsi="Verdana" w:cs="Times New Roman"/>
          <w:b/>
          <w:sz w:val="32"/>
          <w:szCs w:val="32"/>
        </w:rPr>
        <w:t>100 Jahre probiotische Arzneimittel-Therapie</w:t>
      </w:r>
    </w:p>
    <w:p w14:paraId="612149AF" w14:textId="2480802B" w:rsidR="00CF41CD" w:rsidRPr="00EA6BDE" w:rsidRDefault="00D73FCF" w:rsidP="008A7BC0">
      <w:pPr>
        <w:spacing w:before="120" w:line="280" w:lineRule="atLeast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851081">
        <w:rPr>
          <w:rFonts w:ascii="Verdana" w:hAnsi="Verdana" w:cs="Times New Roman"/>
          <w:i/>
          <w:color w:val="000000" w:themeColor="text1"/>
          <w:sz w:val="20"/>
          <w:szCs w:val="20"/>
        </w:rPr>
        <w:t>München, den 26. April 2017</w:t>
      </w:r>
      <w:r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– </w:t>
      </w:r>
      <w:r w:rsidR="00B52B51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Vor 100 Jahren entdeckte der Arzt</w:t>
      </w:r>
      <w:r w:rsidR="008A7BC0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Prof. Dr. Alfred Nissle ein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Darmbakterium mit besonderen </w:t>
      </w:r>
      <w:r w:rsidR="00A04A6B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gesundheitlichen Wirkungen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und legte damit den Grundstein für sogenannte 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p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robioti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sche Arzneimittel, die lebensfähige Mikroorganismen enthalten.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Der gefundene </w:t>
      </w:r>
      <w:proofErr w:type="spellStart"/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Darmkeim</w:t>
      </w:r>
      <w:proofErr w:type="spellEnd"/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, </w:t>
      </w:r>
      <w:r w:rsidR="00C50484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später benannt als </w:t>
      </w:r>
      <w:r w:rsidR="008A7BC0" w:rsidRPr="00EA6BDE">
        <w:rPr>
          <w:rFonts w:ascii="Verdana" w:hAnsi="Verdana" w:cs="Times New Roman"/>
          <w:b/>
          <w:i/>
          <w:color w:val="000000" w:themeColor="text1"/>
          <w:sz w:val="20"/>
          <w:szCs w:val="20"/>
        </w:rPr>
        <w:t>Escherichia coli</w:t>
      </w:r>
      <w:r w:rsidR="008A7BC0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Stamm Nissle 1917 (EcN), </w:t>
      </w:r>
      <w:r w:rsidR="00851081">
        <w:rPr>
          <w:rFonts w:ascii="Verdana" w:hAnsi="Verdana" w:cs="Times New Roman"/>
          <w:b/>
          <w:color w:val="000000" w:themeColor="text1"/>
          <w:sz w:val="20"/>
          <w:szCs w:val="20"/>
        </w:rPr>
        <w:t>ist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in der Lage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,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krankmachende </w:t>
      </w:r>
      <w:r w:rsidR="00A04A6B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Durchfall-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E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rreger zu bekämpfen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. Prof. Dr. Alfred Nissle</w:t>
      </w:r>
      <w:r w:rsidR="004A2844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3F43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ließ </w:t>
      </w:r>
      <w:r w:rsidR="008A7BC0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EcN</w:t>
      </w:r>
      <w:r w:rsidR="00CF41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unter dem Handelsnamen Mutaflor</w:t>
      </w:r>
      <w:r w:rsidR="00BF1F02" w:rsidRPr="00BF1F02">
        <w:rPr>
          <w:rFonts w:ascii="Verdana" w:hAnsi="Verdana" w:cs="Times New Roman"/>
          <w:b/>
          <w:color w:val="000000" w:themeColor="text1"/>
          <w:sz w:val="20"/>
          <w:szCs w:val="20"/>
          <w:vertAlign w:val="superscript"/>
        </w:rPr>
        <w:t>®</w:t>
      </w:r>
      <w:r w:rsidR="003F43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C50484">
        <w:rPr>
          <w:rFonts w:ascii="Verdana" w:hAnsi="Verdana" w:cs="Times New Roman"/>
          <w:b/>
          <w:color w:val="000000" w:themeColor="text1"/>
          <w:sz w:val="20"/>
          <w:szCs w:val="20"/>
        </w:rPr>
        <w:t>schützen</w:t>
      </w:r>
      <w:r w:rsidR="003F43CD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. </w:t>
      </w:r>
      <w:r w:rsidR="00851081">
        <w:rPr>
          <w:rFonts w:ascii="Verdana" w:hAnsi="Verdana" w:cs="Times New Roman"/>
          <w:b/>
          <w:color w:val="000000" w:themeColor="text1"/>
          <w:sz w:val="20"/>
          <w:szCs w:val="20"/>
        </w:rPr>
        <w:br/>
      </w:r>
      <w:r w:rsidR="00A04A6B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Heute ist EcN umfassend wissenschaftlich untersucht und wird bei zahlreichen Erkrankungen des Verdauungstrakts eingesetzt. </w:t>
      </w:r>
      <w:r w:rsidR="00851081">
        <w:rPr>
          <w:rFonts w:ascii="Verdana" w:hAnsi="Verdana" w:cs="Times New Roman"/>
          <w:b/>
          <w:color w:val="000000" w:themeColor="text1"/>
          <w:sz w:val="20"/>
          <w:szCs w:val="20"/>
        </w:rPr>
        <w:br/>
      </w:r>
      <w:r w:rsidR="00A04A6B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Den spannenden Weg dorthin sowie die lange unterschätze</w:t>
      </w:r>
      <w:r w:rsidR="007E7499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Bedeutsamkeit der menschlichen Darmflora für unsere Gesundheit </w:t>
      </w:r>
      <w:r w:rsidR="00A04A6B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>beleuchtete heute die Alfred-Nissle-Gesellschaft e.V. auf einer Pressekonferenz.</w:t>
      </w:r>
      <w:r w:rsidR="007E7499" w:rsidRPr="00EA6BD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</w:p>
    <w:p w14:paraId="51297345" w14:textId="03F4D38B" w:rsidR="00851081" w:rsidRDefault="00794DDD" w:rsidP="00794DDD">
      <w:pPr>
        <w:spacing w:before="120" w:line="280" w:lineRule="atLeast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>„Ohn</w:t>
      </w:r>
      <w:r w:rsidRPr="00F566D7">
        <w:rPr>
          <w:rFonts w:ascii="Verdana" w:hAnsi="Verdana" w:cs="Times New Roman"/>
          <w:color w:val="000000" w:themeColor="text1"/>
          <w:sz w:val="20"/>
          <w:szCs w:val="20"/>
        </w:rPr>
        <w:t>e gesunde Darmflora kein gesunder Organismus</w:t>
      </w:r>
      <w:r>
        <w:rPr>
          <w:rFonts w:ascii="Verdana" w:hAnsi="Verdana" w:cs="Times New Roman"/>
          <w:color w:val="000000" w:themeColor="text1"/>
          <w:sz w:val="20"/>
          <w:szCs w:val="20"/>
        </w:rPr>
        <w:t>“</w:t>
      </w:r>
      <w:r w:rsidR="00AC1778">
        <w:rPr>
          <w:rFonts w:ascii="Verdana" w:hAnsi="Verdana" w:cs="Times New Roman"/>
          <w:color w:val="000000" w:themeColor="text1"/>
          <w:sz w:val="20"/>
          <w:szCs w:val="20"/>
        </w:rPr>
        <w:t>,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lautet der Grundsatz der </w:t>
      </w:r>
      <w:r w:rsidRPr="00F566D7">
        <w:rPr>
          <w:rFonts w:ascii="Verdana" w:hAnsi="Verdana" w:cs="Times New Roman"/>
          <w:color w:val="000000" w:themeColor="text1"/>
          <w:sz w:val="20"/>
          <w:szCs w:val="20"/>
        </w:rPr>
        <w:t>Alfred-Nissle-Gesellschaft e.V.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7968D6">
        <w:rPr>
          <w:rFonts w:ascii="Verdana" w:hAnsi="Verdana" w:cs="Times New Roman"/>
          <w:color w:val="000000" w:themeColor="text1"/>
          <w:sz w:val="20"/>
          <w:szCs w:val="20"/>
        </w:rPr>
        <w:t xml:space="preserve">die sich der Erforschung der Wirkmechanismen </w:t>
      </w:r>
      <w:r w:rsidR="00851081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="007968D6">
        <w:rPr>
          <w:rFonts w:ascii="Verdana" w:hAnsi="Verdana" w:cs="Times New Roman"/>
          <w:color w:val="000000" w:themeColor="text1"/>
          <w:sz w:val="20"/>
          <w:szCs w:val="20"/>
        </w:rPr>
        <w:t>von</w:t>
      </w:r>
      <w:r w:rsidR="007968D6" w:rsidRPr="00F566D7">
        <w:rPr>
          <w:rFonts w:ascii="Verdana" w:hAnsi="Verdana" w:cs="Times New Roman"/>
          <w:color w:val="000000" w:themeColor="text1"/>
          <w:sz w:val="20"/>
          <w:szCs w:val="20"/>
        </w:rPr>
        <w:t xml:space="preserve"> Probiotika</w:t>
      </w:r>
      <w:r w:rsidR="007968D6">
        <w:rPr>
          <w:rFonts w:ascii="Verdana" w:hAnsi="Verdana" w:cs="Times New Roman"/>
          <w:color w:val="000000" w:themeColor="text1"/>
          <w:sz w:val="20"/>
          <w:szCs w:val="20"/>
        </w:rPr>
        <w:t xml:space="preserve"> und der medizinischen Fortbildung in diesem Bereich </w:t>
      </w:r>
      <w:r w:rsidR="00C622DC">
        <w:rPr>
          <w:rFonts w:ascii="Verdana" w:hAnsi="Verdana" w:cs="Times New Roman"/>
          <w:color w:val="000000" w:themeColor="text1"/>
          <w:sz w:val="20"/>
          <w:szCs w:val="20"/>
        </w:rPr>
        <w:t>widmet</w:t>
      </w:r>
      <w:r w:rsidR="007968D6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14:paraId="74AD4B42" w14:textId="21379EEB" w:rsidR="0011102E" w:rsidRDefault="007968D6" w:rsidP="00794DDD">
      <w:pPr>
        <w:spacing w:before="120" w:line="28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Ihr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Vorsitzender </w:t>
      </w:r>
      <w:r w:rsidRPr="00AA69C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Prof. D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r. med. Jan Wehkamp, Universitätsklinikum Tübingen, gab in einer Einführung einen Überblick über</w:t>
      </w:r>
      <w:r w:rsidR="00794DDD">
        <w:rPr>
          <w:rFonts w:ascii="Verdana" w:hAnsi="Verdana" w:cs="Times New Roman"/>
          <w:color w:val="000000" w:themeColor="text1"/>
          <w:sz w:val="20"/>
          <w:szCs w:val="20"/>
        </w:rPr>
        <w:t xml:space="preserve"> Ziele und </w:t>
      </w:r>
      <w:r w:rsidR="00AC1778">
        <w:rPr>
          <w:rFonts w:ascii="Verdana" w:hAnsi="Verdana" w:cs="Times New Roman"/>
          <w:color w:val="000000" w:themeColor="text1"/>
          <w:sz w:val="20"/>
          <w:szCs w:val="20"/>
        </w:rPr>
        <w:t>Aktivitäten</w:t>
      </w:r>
      <w:r w:rsidR="00794DDD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der </w:t>
      </w:r>
      <w:r w:rsidRPr="00F566D7">
        <w:rPr>
          <w:rFonts w:ascii="Verdana" w:hAnsi="Verdana" w:cs="Times New Roman"/>
          <w:color w:val="000000" w:themeColor="text1"/>
          <w:sz w:val="20"/>
          <w:szCs w:val="20"/>
        </w:rPr>
        <w:t>Gesellschaft.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Dass d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ie medizinische Bedeutung des menschlichen Mikrobioms erst nach und nach erkannt und umfassender untersucht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w</w:t>
      </w:r>
      <w:r w:rsidR="007A78B7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u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rde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, erläutert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e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der </w:t>
      </w:r>
      <w:proofErr w:type="spellStart"/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Gastroenterologe</w:t>
      </w:r>
      <w:proofErr w:type="spellEnd"/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</w:t>
      </w:r>
      <w:r w:rsidR="00B41C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und klinischer Pharmakologe 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in seinem zweiten Vortrag. Nach neueren </w:t>
      </w:r>
      <w:r w:rsidR="00794DDD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Berechnungen 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soll</w:t>
      </w:r>
      <w:r w:rsidR="00794DDD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d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a</w:t>
      </w:r>
      <w:r w:rsidR="00794DDD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s Verhältnis mikrobieller Zellen (Bakterien) zu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menschlichen</w:t>
      </w:r>
      <w:r w:rsidR="00794DDD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Zellen im Körper </w:t>
      </w:r>
      <w:r w:rsidR="00A552B3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etwa 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bei</w:t>
      </w:r>
      <w:r w:rsidR="00A552B3" w:rsidRPr="00EB73B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1:1</w:t>
      </w:r>
      <w:r w:rsidR="00A552B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liegen</w:t>
      </w:r>
      <w:r w:rsidR="007A78B7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, stellte </w:t>
      </w:r>
      <w:r w:rsidR="007A78B7" w:rsidRPr="00AA69C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Prof. D</w:t>
      </w:r>
      <w:r w:rsidR="007A78B7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r. med. Jan Wehkamp dar</w:t>
      </w:r>
      <w:r w:rsid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. </w:t>
      </w:r>
      <w:r w:rsidR="00CB4D1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Das heißt, genauso viele Zellen wie wir im Körper haben, tragen wir auch noch in Form einer Keimbesiedelung </w:t>
      </w:r>
      <w:r w:rsidR="00C622D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– vor allem im Darm – </w:t>
      </w:r>
      <w:r w:rsidR="008B17B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in uns</w:t>
      </w:r>
      <w:r w:rsidR="00CB4D1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.</w:t>
      </w:r>
    </w:p>
    <w:p w14:paraId="515361B1" w14:textId="17894D34" w:rsidR="00147185" w:rsidRDefault="00794DDD" w:rsidP="00794DDD">
      <w:pPr>
        <w:spacing w:before="120" w:line="28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Die meisten dieser Bakterien sind </w:t>
      </w:r>
      <w:r w:rsidR="00B41C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unter normalen Bedingungen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harmlos. </w:t>
      </w:r>
      <w:r w:rsidR="008515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br/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Sie besiedeln sämtliche körperliche Grenzflächen und werden in ihrer Gesamtheit als Mikrobiom bezeichnet. Die Zusammensetzung dieses Mikrobioms ist dynamisch und von verschiedenen Faktoren abhängig, was in zahlreichen</w:t>
      </w:r>
      <w:r w:rsidR="0011102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,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aktuellen </w:t>
      </w:r>
      <w:r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Forschungsprojekte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n untersucht wird. 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Auch das Zusammenspiel zwischen bakterieller Besiedelung und der Barrierefunktion der unterschiedlichen Körperoberflächen (Haut, Schleimhäute, </w:t>
      </w:r>
      <w:r w:rsidR="0014718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Verdauungs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trakt etc.) mit ihren speziellen aktiv antibiotischen Substanzen und den daraus resultierenden Regulationsmechanismen wird zunehmend besser verstanden.</w:t>
      </w:r>
    </w:p>
    <w:p w14:paraId="50E1B486" w14:textId="4ABFED5B" w:rsidR="00794DDD" w:rsidRDefault="00A552B3" w:rsidP="00794DDD">
      <w:pPr>
        <w:spacing w:before="120" w:line="28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So ergibt sich 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eine ganz andere Sichtweise auf verschiedene Erkrankungen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,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</w:t>
      </w:r>
      <w:r w:rsidR="0014718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br/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die </w:t>
      </w:r>
      <w:r w:rsidR="006679D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mittlerweile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als Mikrobiom assoziierte Barriere-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E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rkrankungen betrachtet werden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,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folgerte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</w:t>
      </w:r>
      <w:r w:rsidR="0036678D" w:rsidRPr="00AA69C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Prof. D</w:t>
      </w:r>
      <w:r w:rsidR="0036678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r. med. Jan Wehkamp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.</w:t>
      </w:r>
      <w:r w:rsidR="00B41CA8" w:rsidRPr="00B41C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vertAlign w:val="superscript"/>
          <w:lang w:eastAsia="de-DE"/>
        </w:rPr>
        <w:t>1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Dazu gehören neben entzündlichen 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lastRenderedPageBreak/>
        <w:t xml:space="preserve">Erkrankungen des </w:t>
      </w:r>
      <w:r w:rsidR="0014718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Verdauungs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trakts auch metabolische und neurologische Erkrankungen. </w:t>
      </w:r>
      <w:r w:rsidR="007A78B7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„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Therapeutisch ergeben sich so eine Reihe neuer Ansatzpunkte die vor </w:t>
      </w:r>
      <w:r w:rsidR="00A16EB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100</w:t>
      </w:r>
      <w:r w:rsidR="0036678D" w:rsidRPr="00794DD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Jahren teils populär waren, aber dann für lange Zeit in Vergessenheit geraten sind und nun neu entdeckt werden</w:t>
      </w:r>
      <w:r w:rsidR="007A78B7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“</w:t>
      </w:r>
      <w:r w:rsidR="00A16EB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, so sein Fazit</w:t>
      </w:r>
      <w:r w:rsidR="0014718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.</w:t>
      </w:r>
    </w:p>
    <w:p w14:paraId="17976A08" w14:textId="40019D17" w:rsidR="00A93844" w:rsidRDefault="00831B7B" w:rsidP="00831B7B">
      <w:pPr>
        <w:spacing w:before="120" w:line="28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Dr. Rudolf von Bünau, Herdecke, </w:t>
      </w:r>
      <w:r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stellvertretender Vorsitzender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der </w:t>
      </w:r>
      <w:r w:rsidRPr="00F566D7">
        <w:rPr>
          <w:rFonts w:ascii="Verdana" w:hAnsi="Verdana" w:cs="Times New Roman"/>
          <w:color w:val="000000" w:themeColor="text1"/>
          <w:sz w:val="20"/>
          <w:szCs w:val="20"/>
        </w:rPr>
        <w:t>Alfred-Nissle-Gesellschaft e.V.</w:t>
      </w:r>
      <w:r>
        <w:rPr>
          <w:rFonts w:ascii="Verdana" w:hAnsi="Verdana" w:cs="Times New Roman"/>
          <w:color w:val="000000" w:themeColor="text1"/>
          <w:sz w:val="20"/>
          <w:szCs w:val="20"/>
        </w:rPr>
        <w:t>, zeichnet</w:t>
      </w:r>
      <w:r w:rsidR="007A78B7">
        <w:rPr>
          <w:rFonts w:ascii="Verdana" w:hAnsi="Verdana" w:cs="Times New Roman"/>
          <w:color w:val="000000" w:themeColor="text1"/>
          <w:sz w:val="20"/>
          <w:szCs w:val="20"/>
        </w:rPr>
        <w:t>e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den Weg nach, den </w:t>
      </w:r>
      <w:r w:rsidRPr="00831B7B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Escherichia coli </w:t>
      </w:r>
      <w:r w:rsidRPr="00831B7B">
        <w:rPr>
          <w:rFonts w:ascii="Verdana" w:hAnsi="Verdana" w:cs="Times New Roman"/>
          <w:color w:val="000000" w:themeColor="text1"/>
          <w:sz w:val="20"/>
          <w:szCs w:val="20"/>
        </w:rPr>
        <w:t xml:space="preserve">Stamm Nissle 1917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seit seiner Isolierung </w:t>
      </w:r>
      <w:r w:rsidR="005B3AC1">
        <w:rPr>
          <w:rFonts w:ascii="Verdana" w:hAnsi="Verdana" w:cs="Times New Roman"/>
          <w:color w:val="000000" w:themeColor="text1"/>
          <w:sz w:val="20"/>
          <w:szCs w:val="20"/>
        </w:rPr>
        <w:t xml:space="preserve">aus </w:t>
      </w:r>
      <w:r w:rsidR="00DA57B7">
        <w:rPr>
          <w:rFonts w:ascii="Verdana" w:hAnsi="Verdana" w:cs="Times New Roman"/>
          <w:color w:val="000000" w:themeColor="text1"/>
          <w:sz w:val="20"/>
          <w:szCs w:val="20"/>
        </w:rPr>
        <w:t>der</w:t>
      </w:r>
      <w:r w:rsidR="005B3AC1">
        <w:rPr>
          <w:rFonts w:ascii="Verdana" w:hAnsi="Verdana" w:cs="Times New Roman"/>
          <w:color w:val="000000" w:themeColor="text1"/>
          <w:sz w:val="20"/>
          <w:szCs w:val="20"/>
        </w:rPr>
        <w:t xml:space="preserve"> Stuhlprobe eines Soldaten im Feldlazarett Freiburg vor gut 100 Jahren genommen hat. Sein Entdecker </w:t>
      </w:r>
      <w:r w:rsidR="005B3AC1" w:rsidRPr="005B3AC1">
        <w:rPr>
          <w:rFonts w:ascii="Verdana" w:hAnsi="Verdana" w:cs="Times New Roman"/>
          <w:color w:val="000000" w:themeColor="text1"/>
          <w:sz w:val="20"/>
          <w:szCs w:val="20"/>
        </w:rPr>
        <w:t xml:space="preserve">Prof. Dr. Alfred Nissle </w:t>
      </w:r>
      <w:r w:rsidR="005B3AC1">
        <w:rPr>
          <w:rFonts w:ascii="Verdana" w:hAnsi="Verdana" w:cs="Times New Roman"/>
          <w:color w:val="000000" w:themeColor="text1"/>
          <w:sz w:val="20"/>
          <w:szCs w:val="20"/>
        </w:rPr>
        <w:t xml:space="preserve">war auf der Suche </w:t>
      </w:r>
      <w:r w:rsidR="005B3AC1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nach Darmbakterien, die in der Lage waren,</w:t>
      </w:r>
      <w:r w:rsidR="005B3AC1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</w:t>
      </w:r>
      <w:r w:rsidR="005B3AC1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das Wachstum von </w:t>
      </w:r>
      <w:r w:rsidR="00CB4D1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krankmachenden Darmkeimen</w:t>
      </w:r>
      <w:r w:rsidR="005B3AC1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zu unterdrücken</w:t>
      </w:r>
      <w:r w:rsidR="005B3AC1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.</w:t>
      </w:r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1916 </w:t>
      </w:r>
      <w:r w:rsidR="00D01E66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– also vor mehr als 100 Jahren – </w:t>
      </w:r>
      <w:r w:rsidR="00CB4D1D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veröffentlichte</w:t>
      </w:r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er dazu einen Artikel </w:t>
      </w:r>
      <w:r w:rsidR="008B18F4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in der Deutschen Medizinischen Wochenschrift unter dem Titel „</w:t>
      </w:r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Ü</w:t>
      </w:r>
      <w:r w:rsidR="008B18F4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ber die Grundlagen einer neuen ursächlichen Bekämpfun</w:t>
      </w:r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g der pathologischen Darmflora“. EcN wurde zunächst auf großen </w:t>
      </w:r>
      <w:proofErr w:type="spellStart"/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Agarplatten</w:t>
      </w:r>
      <w:proofErr w:type="spellEnd"/>
      <w:r w:rsidR="008B18F4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kultiviert</w:t>
      </w:r>
      <w:r w:rsidR="006339A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, </w:t>
      </w:r>
      <w:r w:rsidR="008B18F4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in Gelatinekapseln gefüllt</w:t>
      </w:r>
      <w:r w:rsidR="006339A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und</w:t>
      </w:r>
      <w:r w:rsidR="008B18F4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 xml:space="preserve"> mit W</w:t>
      </w:r>
      <w:r w:rsidR="006339A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achs oder Paraffin verschlossen, um als Probiotikum an Patienten mit Durchfallerkrankungen verabreicht zu werden</w:t>
      </w:r>
      <w:r w:rsidR="008B18F4" w:rsidRPr="00831B7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de-DE"/>
        </w:rPr>
        <w:t>.</w:t>
      </w:r>
    </w:p>
    <w:p w14:paraId="29324C48" w14:textId="18F45DD0" w:rsidR="00CB1A84" w:rsidRPr="002C5CD2" w:rsidRDefault="00A93844" w:rsidP="00CB1A84">
      <w:pPr>
        <w:spacing w:before="120" w:line="280" w:lineRule="atLeast"/>
        <w:rPr>
          <w:rFonts w:ascii="Verdana" w:hAnsi="Verdana" w:cs="Times New Roman"/>
          <w:color w:val="000000" w:themeColor="text1"/>
          <w:sz w:val="20"/>
          <w:szCs w:val="20"/>
        </w:rPr>
      </w:pPr>
      <w:r w:rsidRPr="008A7BC0">
        <w:rPr>
          <w:rFonts w:ascii="Verdana" w:hAnsi="Verdana" w:cs="Times New Roman"/>
          <w:color w:val="000000" w:themeColor="text1"/>
          <w:sz w:val="20"/>
          <w:szCs w:val="20"/>
        </w:rPr>
        <w:t xml:space="preserve">Heute </w:t>
      </w:r>
      <w:r w:rsidRPr="00A93844">
        <w:rPr>
          <w:rFonts w:ascii="Verdana" w:hAnsi="Verdana" w:cs="Times New Roman"/>
          <w:color w:val="000000" w:themeColor="text1"/>
          <w:sz w:val="20"/>
          <w:szCs w:val="20"/>
        </w:rPr>
        <w:t>bildet EcN die</w:t>
      </w:r>
      <w:r w:rsidRPr="008A7BC0">
        <w:rPr>
          <w:rFonts w:ascii="Verdana" w:hAnsi="Verdana" w:cs="Times New Roman"/>
          <w:color w:val="000000" w:themeColor="text1"/>
          <w:sz w:val="20"/>
          <w:szCs w:val="20"/>
        </w:rPr>
        <w:t xml:space="preserve"> Grundlage moderner probiotischer Arzneimittel, deren Wirksamkeit bei </w:t>
      </w:r>
      <w:r w:rsidR="00CB4D1D">
        <w:rPr>
          <w:rFonts w:ascii="Verdana" w:hAnsi="Verdana" w:cs="Times New Roman"/>
          <w:color w:val="000000" w:themeColor="text1"/>
          <w:sz w:val="20"/>
          <w:szCs w:val="20"/>
        </w:rPr>
        <w:t>verschiedenen Erkrankungen</w:t>
      </w:r>
      <w:r w:rsidRPr="008A7BC0">
        <w:rPr>
          <w:rFonts w:ascii="Verdana" w:hAnsi="Verdana" w:cs="Times New Roman"/>
          <w:color w:val="000000" w:themeColor="text1"/>
          <w:sz w:val="20"/>
          <w:szCs w:val="20"/>
        </w:rPr>
        <w:t xml:space="preserve"> durch zahlreiche kontrollierte klinische Studien nachgewiesen wurde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="00870EC5">
        <w:rPr>
          <w:rFonts w:ascii="Verdana" w:hAnsi="Verdana" w:cs="Times New Roman"/>
          <w:color w:val="000000" w:themeColor="text1"/>
          <w:sz w:val="20"/>
          <w:szCs w:val="20"/>
        </w:rPr>
        <w:t>Darüber hinaus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wird EcN auch erfahrungstherapeutisch breit eingesetzt.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Die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speziellen Wirkmechanismen wurden und werden umfassend erforscht.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Bekannt ist, dass 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>EcN</w:t>
      </w:r>
      <w:r w:rsidR="00CB1A84" w:rsidRPr="002C5CD2">
        <w:rPr>
          <w:rFonts w:ascii="Verdana" w:hAnsi="Verdana" w:cs="Times New Roman"/>
          <w:color w:val="000000" w:themeColor="text1"/>
          <w:sz w:val="20"/>
          <w:szCs w:val="20"/>
        </w:rPr>
        <w:t xml:space="preserve"> positiv auf die Darmmuskulatur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wirkt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CB1A84" w:rsidRPr="002C5CD2">
        <w:rPr>
          <w:rFonts w:ascii="Verdana" w:hAnsi="Verdana" w:cs="Times New Roman"/>
          <w:color w:val="000000" w:themeColor="text1"/>
          <w:sz w:val="20"/>
          <w:szCs w:val="20"/>
        </w:rPr>
        <w:t>die Darmbarriere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stabilisiert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CB1A84" w:rsidRPr="002C5CD2">
        <w:rPr>
          <w:rFonts w:ascii="Verdana" w:hAnsi="Verdana" w:cs="Times New Roman"/>
          <w:color w:val="000000" w:themeColor="text1"/>
          <w:sz w:val="20"/>
          <w:szCs w:val="20"/>
        </w:rPr>
        <w:t>die Darmflora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8A3D73" w:rsidRPr="002C5CD2">
        <w:rPr>
          <w:rFonts w:ascii="Verdana" w:hAnsi="Verdana" w:cs="Times New Roman"/>
          <w:color w:val="000000" w:themeColor="text1"/>
          <w:sz w:val="20"/>
          <w:szCs w:val="20"/>
        </w:rPr>
        <w:t>unterst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ützt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147185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="00CB1A84" w:rsidRPr="002C5CD2">
        <w:rPr>
          <w:rFonts w:ascii="Verdana" w:hAnsi="Verdana" w:cs="Times New Roman"/>
          <w:color w:val="000000" w:themeColor="text1"/>
          <w:sz w:val="20"/>
          <w:szCs w:val="20"/>
        </w:rPr>
        <w:t>das Immunsystem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s</w:t>
      </w:r>
      <w:r w:rsidR="008A3D73" w:rsidRPr="002C5CD2">
        <w:rPr>
          <w:rFonts w:ascii="Verdana" w:hAnsi="Verdana" w:cs="Times New Roman"/>
          <w:color w:val="000000" w:themeColor="text1"/>
          <w:sz w:val="20"/>
          <w:szCs w:val="20"/>
        </w:rPr>
        <w:t xml:space="preserve">tärkt 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 xml:space="preserve">und </w:t>
      </w:r>
      <w:r w:rsidR="00CB1A84" w:rsidRPr="002C5CD2">
        <w:rPr>
          <w:rFonts w:ascii="Verdana" w:hAnsi="Verdana" w:cs="Times New Roman"/>
          <w:color w:val="000000" w:themeColor="text1"/>
          <w:sz w:val="20"/>
          <w:szCs w:val="20"/>
        </w:rPr>
        <w:t>Darmentzündungen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entgegenwirkt</w:t>
      </w:r>
      <w:r w:rsidR="00CB1A84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14:paraId="2D533343" w14:textId="6480EC8E" w:rsidR="00470C45" w:rsidRDefault="00CB1A84" w:rsidP="00831B7B">
      <w:pPr>
        <w:spacing w:before="120" w:line="280" w:lineRule="atLeast"/>
        <w:rPr>
          <w:rFonts w:ascii="Verdana" w:hAnsi="Verdana" w:cs="Times New Roman"/>
          <w:color w:val="000000" w:themeColor="text1"/>
          <w:sz w:val="20"/>
          <w:szCs w:val="20"/>
        </w:rPr>
      </w:pPr>
      <w:r w:rsidRPr="00CB1A84">
        <w:rPr>
          <w:rFonts w:ascii="Verdana" w:hAnsi="Verdana" w:cs="Times New Roman"/>
          <w:color w:val="000000" w:themeColor="text1"/>
          <w:sz w:val="20"/>
          <w:szCs w:val="20"/>
        </w:rPr>
        <w:t xml:space="preserve">Bei Colitis ulcerosa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hat sich EcN in der </w:t>
      </w:r>
      <w:r w:rsidRPr="00CB1A84">
        <w:rPr>
          <w:rFonts w:ascii="Verdana" w:hAnsi="Verdana" w:cs="Times New Roman"/>
          <w:color w:val="000000" w:themeColor="text1"/>
          <w:sz w:val="20"/>
          <w:szCs w:val="20"/>
        </w:rPr>
        <w:t xml:space="preserve">Remissionserhaltung </w:t>
      </w:r>
      <w:r w:rsidR="00470C45">
        <w:rPr>
          <w:rFonts w:ascii="Verdana" w:hAnsi="Verdana" w:cs="Times New Roman"/>
          <w:color w:val="000000" w:themeColor="text1"/>
          <w:sz w:val="20"/>
          <w:szCs w:val="20"/>
        </w:rPr>
        <w:t xml:space="preserve">in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drei</w:t>
      </w:r>
      <w:r w:rsidR="008A3D73" w:rsidRP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randomisierten Doppelblindstudien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als </w:t>
      </w:r>
      <w:r w:rsidR="00CB4D1D">
        <w:rPr>
          <w:rFonts w:ascii="Verdana" w:hAnsi="Verdana" w:cs="Times New Roman"/>
          <w:color w:val="000000" w:themeColor="text1"/>
          <w:sz w:val="20"/>
          <w:szCs w:val="20"/>
        </w:rPr>
        <w:t>genauso</w:t>
      </w:r>
      <w:r w:rsidRP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wirksam zu</w:t>
      </w:r>
      <w:r>
        <w:rPr>
          <w:rFonts w:ascii="Verdana" w:hAnsi="Verdana" w:cs="Times New Roman"/>
          <w:color w:val="000000" w:themeColor="text1"/>
          <w:sz w:val="20"/>
          <w:szCs w:val="20"/>
        </w:rPr>
        <w:t>m</w:t>
      </w:r>
      <w:r w:rsidRP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Standard</w:t>
      </w:r>
      <w:r w:rsidR="00CB4D1D">
        <w:rPr>
          <w:rFonts w:ascii="Verdana" w:hAnsi="Verdana" w:cs="Times New Roman"/>
          <w:color w:val="000000" w:themeColor="text1"/>
          <w:sz w:val="20"/>
          <w:szCs w:val="20"/>
        </w:rPr>
        <w:t>medikament</w:t>
      </w:r>
      <w:r w:rsidRPr="00CB1A84">
        <w:rPr>
          <w:rFonts w:ascii="Verdana" w:hAnsi="Verdana" w:cs="Times New Roman"/>
          <w:color w:val="000000" w:themeColor="text1"/>
          <w:sz w:val="20"/>
          <w:szCs w:val="20"/>
        </w:rPr>
        <w:t xml:space="preserve"> Mesalazin </w:t>
      </w:r>
      <w:r>
        <w:rPr>
          <w:rFonts w:ascii="Verdana" w:hAnsi="Verdana" w:cs="Times New Roman"/>
          <w:color w:val="000000" w:themeColor="text1"/>
          <w:sz w:val="20"/>
          <w:szCs w:val="20"/>
        </w:rPr>
        <w:t>erwiesen.</w:t>
      </w:r>
      <w:r w:rsidR="008A3D73" w:rsidRPr="00870EC5"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>1-3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Zudem wirkt EcN nachgewiesenermaßen bei chronischer Verstopfung.</w:t>
      </w:r>
      <w:r w:rsidR="008A3D73" w:rsidRPr="00870EC5"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>4,5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Bei Neugeborenen wird EcN studienbasiert zur </w:t>
      </w:r>
      <w:r w:rsidR="00FC22B2">
        <w:rPr>
          <w:rFonts w:ascii="Verdana" w:hAnsi="Verdana" w:cs="Times New Roman"/>
          <w:color w:val="000000" w:themeColor="text1"/>
          <w:sz w:val="20"/>
          <w:szCs w:val="20"/>
        </w:rPr>
        <w:t>Besiedelung mit gesundheitsförderlichen Keimen</w:t>
      </w:r>
      <w:r w:rsidR="008A3D73" w:rsidRPr="00870EC5"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 xml:space="preserve">6,7 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sowie bei Säugli</w:t>
      </w:r>
      <w:r w:rsidR="0056033F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8A3D73">
        <w:rPr>
          <w:rFonts w:ascii="Verdana" w:hAnsi="Verdana" w:cs="Times New Roman"/>
          <w:color w:val="000000" w:themeColor="text1"/>
          <w:sz w:val="20"/>
          <w:szCs w:val="20"/>
        </w:rPr>
        <w:t>gen und Kin</w:t>
      </w:r>
      <w:r w:rsidR="0056033F">
        <w:rPr>
          <w:rFonts w:ascii="Verdana" w:hAnsi="Verdana" w:cs="Times New Roman"/>
          <w:color w:val="000000" w:themeColor="text1"/>
          <w:sz w:val="20"/>
          <w:szCs w:val="20"/>
        </w:rPr>
        <w:t xml:space="preserve">dern zur </w:t>
      </w:r>
      <w:r w:rsidR="008A3D73" w:rsidRPr="008A3D73">
        <w:rPr>
          <w:rFonts w:ascii="Verdana" w:hAnsi="Verdana" w:cs="Times New Roman"/>
          <w:color w:val="000000" w:themeColor="text1"/>
          <w:sz w:val="20"/>
          <w:szCs w:val="20"/>
        </w:rPr>
        <w:t>evidenzbasierte</w:t>
      </w:r>
      <w:r w:rsidR="00870EC5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8A3D73" w:rsidRP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Therapie von </w:t>
      </w:r>
      <w:r w:rsidR="00CB4D1D">
        <w:rPr>
          <w:rFonts w:ascii="Verdana" w:hAnsi="Verdana" w:cs="Times New Roman"/>
          <w:color w:val="000000" w:themeColor="text1"/>
          <w:sz w:val="20"/>
          <w:szCs w:val="20"/>
        </w:rPr>
        <w:t>Durchfällen</w:t>
      </w:r>
      <w:r w:rsidR="008A3D73" w:rsidRPr="008A3D73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56033F">
        <w:rPr>
          <w:rFonts w:ascii="Verdana" w:hAnsi="Verdana" w:cs="Times New Roman"/>
          <w:color w:val="000000" w:themeColor="text1"/>
          <w:sz w:val="20"/>
          <w:szCs w:val="20"/>
        </w:rPr>
        <w:t>eingesetzt.</w:t>
      </w:r>
      <w:r w:rsidR="0056033F" w:rsidRPr="00870EC5"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>8,9</w:t>
      </w:r>
      <w:r w:rsidR="0056033F">
        <w:rPr>
          <w:rFonts w:ascii="Verdana" w:hAnsi="Verdana" w:cs="Times New Roman"/>
          <w:color w:val="000000" w:themeColor="text1"/>
          <w:sz w:val="20"/>
          <w:szCs w:val="20"/>
        </w:rPr>
        <w:t xml:space="preserve"> Weitere Anwendungsgebiete sind Morbus Crohn, Reizdarm-Syndrom, aber auch Erkrankungen </w:t>
      </w:r>
      <w:r w:rsidR="00FC22B2">
        <w:rPr>
          <w:rFonts w:ascii="Verdana" w:hAnsi="Verdana" w:cs="Times New Roman"/>
          <w:color w:val="000000" w:themeColor="text1"/>
          <w:sz w:val="20"/>
          <w:szCs w:val="20"/>
        </w:rPr>
        <w:t xml:space="preserve">außerhalb des Verdauungstrakts </w:t>
      </w:r>
      <w:r w:rsidR="0056033F">
        <w:rPr>
          <w:rFonts w:ascii="Verdana" w:hAnsi="Verdana" w:cs="Times New Roman"/>
          <w:color w:val="000000" w:themeColor="text1"/>
          <w:sz w:val="20"/>
          <w:szCs w:val="20"/>
        </w:rPr>
        <w:t>wie Neuroder</w:t>
      </w:r>
      <w:r w:rsidR="00147185">
        <w:rPr>
          <w:rFonts w:ascii="Verdana" w:hAnsi="Verdana" w:cs="Times New Roman"/>
          <w:color w:val="000000" w:themeColor="text1"/>
          <w:sz w:val="20"/>
          <w:szCs w:val="20"/>
        </w:rPr>
        <w:t>mitis oder Harnwegsinfektionen.</w:t>
      </w:r>
    </w:p>
    <w:p w14:paraId="3795B9F4" w14:textId="77777777" w:rsidR="00147185" w:rsidRDefault="00147185">
      <w:pPr>
        <w:spacing w:after="0" w:line="240" w:lineRule="auto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br w:type="page"/>
      </w:r>
    </w:p>
    <w:p w14:paraId="0908E95A" w14:textId="06344BE5" w:rsidR="00D01E66" w:rsidRDefault="00D01E66" w:rsidP="00D01E66">
      <w:pPr>
        <w:spacing w:before="120" w:line="280" w:lineRule="atLeast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lastRenderedPageBreak/>
        <w:t xml:space="preserve">Im letzten Jahr wurde in der renommierten Fachzeitschrift „Nature“ eindrücklich die Vielseitigkeit der Wirkmechanismen dieses speziellen </w:t>
      </w:r>
      <w:r w:rsidRPr="00CF0DBA">
        <w:rPr>
          <w:rFonts w:ascii="Verdana" w:hAnsi="Verdana" w:cs="Times New Roman"/>
          <w:i/>
          <w:color w:val="000000" w:themeColor="text1"/>
          <w:sz w:val="20"/>
          <w:szCs w:val="20"/>
        </w:rPr>
        <w:t>E. coli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Stamms beschrieben.</w:t>
      </w:r>
      <w:r w:rsidRPr="00E94ABB"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Verdana" w:hAnsi="Verdana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CE40C0">
        <w:rPr>
          <w:rFonts w:ascii="Verdana" w:hAnsi="Verdana" w:cs="Times New Roman"/>
          <w:color w:val="000000" w:themeColor="text1"/>
          <w:sz w:val="20"/>
          <w:szCs w:val="20"/>
        </w:rPr>
        <w:t xml:space="preserve">Es konnte 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 xml:space="preserve">erstmals </w:t>
      </w:r>
      <w:r w:rsidRPr="00CE40C0">
        <w:rPr>
          <w:rFonts w:ascii="Verdana" w:hAnsi="Verdana" w:cs="Times New Roman"/>
          <w:color w:val="000000" w:themeColor="text1"/>
          <w:sz w:val="20"/>
          <w:szCs w:val="20"/>
        </w:rPr>
        <w:t xml:space="preserve">gezeigt werden, dass </w:t>
      </w:r>
      <w:r w:rsidRPr="00CF0DBA">
        <w:rPr>
          <w:rFonts w:ascii="Verdana" w:hAnsi="Verdana" w:cs="Times New Roman"/>
          <w:i/>
          <w:color w:val="000000" w:themeColor="text1"/>
          <w:sz w:val="20"/>
          <w:szCs w:val="20"/>
        </w:rPr>
        <w:t>E. coli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Stamm 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 xml:space="preserve">Nissle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1917 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>neben der positive</w:t>
      </w:r>
      <w:r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 xml:space="preserve"> Wirkung auf das Immunsystem des Menschen selbst eigene </w:t>
      </w:r>
      <w:r>
        <w:rPr>
          <w:rFonts w:ascii="Verdana" w:hAnsi="Verdana" w:cs="Times New Roman"/>
          <w:color w:val="000000" w:themeColor="text1"/>
          <w:sz w:val="20"/>
          <w:szCs w:val="20"/>
        </w:rPr>
        <w:t>„m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>ikrobiomodulierende</w:t>
      </w:r>
      <w:r>
        <w:rPr>
          <w:rFonts w:ascii="Verdana" w:hAnsi="Verdana" w:cs="Times New Roman"/>
          <w:color w:val="000000" w:themeColor="text1"/>
          <w:sz w:val="20"/>
          <w:szCs w:val="20"/>
        </w:rPr>
        <w:t>“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 xml:space="preserve"> Substanzen unt</w:t>
      </w:r>
      <w:r w:rsidRPr="00CE40C0">
        <w:rPr>
          <w:rFonts w:ascii="Verdana" w:hAnsi="Verdana" w:cs="Times New Roman"/>
          <w:color w:val="000000" w:themeColor="text1"/>
          <w:sz w:val="20"/>
          <w:szCs w:val="20"/>
        </w:rPr>
        <w:t>er bestimmten Bedingungen produ</w:t>
      </w:r>
      <w:r w:rsidRPr="00CF0DBA">
        <w:rPr>
          <w:rFonts w:ascii="Verdana" w:hAnsi="Verdana" w:cs="Times New Roman"/>
          <w:color w:val="000000" w:themeColor="text1"/>
          <w:sz w:val="20"/>
          <w:szCs w:val="20"/>
        </w:rPr>
        <w:t>zier</w:t>
      </w:r>
      <w:r>
        <w:rPr>
          <w:rFonts w:ascii="Verdana" w:hAnsi="Verdana" w:cs="Times New Roman"/>
          <w:color w:val="000000" w:themeColor="text1"/>
          <w:sz w:val="20"/>
          <w:szCs w:val="20"/>
        </w:rPr>
        <w:t>en kann, die stark genug sind, um im lebenden Organism</w:t>
      </w:r>
      <w:r w:rsidR="0057645F">
        <w:rPr>
          <w:rFonts w:ascii="Verdana" w:hAnsi="Verdana" w:cs="Times New Roman"/>
          <w:color w:val="000000" w:themeColor="text1"/>
          <w:sz w:val="20"/>
          <w:szCs w:val="20"/>
        </w:rPr>
        <w:t>us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eine Infektion abzuwehren. Eine Veröffentlichung in der Zeitschrift „Nature“ – 100 Jahre nach Entdeckung – ist an sich schon eine Sensation und belegt eindrücklich den hohen wissenschaftlichen Stellenwert der frühen P</w:t>
      </w:r>
      <w:r w:rsidR="00147185">
        <w:rPr>
          <w:rFonts w:ascii="Verdana" w:hAnsi="Verdana" w:cs="Times New Roman"/>
          <w:color w:val="000000" w:themeColor="text1"/>
          <w:sz w:val="20"/>
          <w:szCs w:val="20"/>
        </w:rPr>
        <w:t>ionierarbeit von Alfred Nissle.</w:t>
      </w:r>
    </w:p>
    <w:p w14:paraId="1C0DC309" w14:textId="35ECD998" w:rsidR="00470C45" w:rsidRDefault="00470C45">
      <w:pPr>
        <w:spacing w:after="0" w:line="240" w:lineRule="auto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6FFC3E3E" w14:textId="79D1D2CD" w:rsidR="0051381B" w:rsidRPr="00B41CA8" w:rsidRDefault="00CB1A84" w:rsidP="0051381B">
      <w:pPr>
        <w:spacing w:after="0" w:line="280" w:lineRule="atLeast"/>
        <w:outlineLvl w:val="0"/>
        <w:rPr>
          <w:rFonts w:ascii="Verdana" w:hAnsi="Verdana" w:cs="Times New Roman"/>
          <w:b/>
          <w:sz w:val="20"/>
          <w:szCs w:val="20"/>
        </w:rPr>
      </w:pPr>
      <w:r w:rsidRPr="00B41CA8">
        <w:rPr>
          <w:rFonts w:ascii="Verdana" w:hAnsi="Verdana" w:cs="Times New Roman"/>
          <w:b/>
          <w:sz w:val="20"/>
          <w:szCs w:val="20"/>
        </w:rPr>
        <w:t>Literatur</w:t>
      </w:r>
    </w:p>
    <w:p w14:paraId="140F7597" w14:textId="77777777" w:rsidR="00B41CA8" w:rsidRDefault="00B41CA8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r w:rsidRPr="007C6859">
        <w:rPr>
          <w:rFonts w:ascii="Verdana" w:hAnsi="Verdana" w:cs="Times New Roman"/>
          <w:color w:val="000000" w:themeColor="text1"/>
          <w:sz w:val="18"/>
          <w:szCs w:val="18"/>
        </w:rPr>
        <w:t xml:space="preserve">Wehkamp J, Frick JS, Stange EF. Rolle des Mikrobioms und die gastrointestinale </w:t>
      </w:r>
      <w:proofErr w:type="spellStart"/>
      <w:r w:rsidRPr="007C6859">
        <w:rPr>
          <w:rFonts w:ascii="Verdana" w:hAnsi="Verdana" w:cs="Times New Roman"/>
          <w:color w:val="000000" w:themeColor="text1"/>
          <w:sz w:val="18"/>
          <w:szCs w:val="18"/>
        </w:rPr>
        <w:t>Barrierefunkition</w:t>
      </w:r>
      <w:proofErr w:type="spellEnd"/>
      <w:r w:rsidRPr="007C6859">
        <w:rPr>
          <w:rFonts w:ascii="Verdana" w:hAnsi="Verdana" w:cs="Times New Roman"/>
          <w:color w:val="000000" w:themeColor="text1"/>
          <w:sz w:val="18"/>
          <w:szCs w:val="18"/>
        </w:rPr>
        <w:t xml:space="preserve"> – klinische Implikationen. </w:t>
      </w:r>
      <w:proofErr w:type="spellStart"/>
      <w:r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Gastroenterologie</w:t>
      </w:r>
      <w:proofErr w:type="spellEnd"/>
      <w:r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 up2date 2016; 12(4): 289-301</w:t>
      </w:r>
    </w:p>
    <w:p w14:paraId="2C8DD201" w14:textId="301ED57B" w:rsidR="008A3D73" w:rsidRPr="008A3D73" w:rsidRDefault="008A3D73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Kruis W, et al. Maintaining remission of ulcerative colitis with the probiotic Escherichia coli Nissle 1917 is as effective as with standard mesalazine. Gut 2004; 53: 1617–1623. </w:t>
      </w:r>
    </w:p>
    <w:p w14:paraId="57BE47BB" w14:textId="77777777" w:rsidR="008A3D73" w:rsidRPr="008A3D73" w:rsidRDefault="008A3D73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Rembacken BJ et al. Non-pathogenic Escherichia coli versus mesalazine for the treatment of ulcerative colitis: a randomised trial. Lancet 1999; 354: 635–639. </w:t>
      </w:r>
    </w:p>
    <w:p w14:paraId="6FF47E3F" w14:textId="60BD8D4F" w:rsidR="002C5CD2" w:rsidRPr="00C50484" w:rsidRDefault="008A3D73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Kruis W </w:t>
      </w:r>
      <w:proofErr w:type="gramStart"/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proofErr w:type="gramEnd"/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 Double-blind comparison of an oral Escherichia coli preparation and mesalazine in maintaining remission of ulcerative colitis. Aliment Pharmacol Ther 1997; 11: 853-858.</w:t>
      </w:r>
    </w:p>
    <w:p w14:paraId="58B08F8B" w14:textId="77777777" w:rsidR="008A3D73" w:rsidRDefault="008A3D73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</w:rPr>
        <w:t>Möllenbrink M, Bruckschen E. Behandlung der chronischen Obstipation mit physiologischen Escherichia-coli-Bakterien. Med Klin 1994; 89: 587–593.</w:t>
      </w:r>
    </w:p>
    <w:p w14:paraId="7909C239" w14:textId="29952021" w:rsidR="008A3D73" w:rsidRDefault="008A3D73" w:rsidP="008A3D73">
      <w:pPr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</w:rPr>
        <w:t xml:space="preserve">Bruckschen E, Horosiewicz H. Chronische Obstipation, Vergleich von mikrobiologischer Therapie und Lactulose. Münch Med Wochenschr </w:t>
      </w:r>
      <w:proofErr w:type="gramStart"/>
      <w:r w:rsidRPr="008A3D73">
        <w:rPr>
          <w:rFonts w:ascii="Verdana" w:hAnsi="Verdana" w:cs="Times New Roman"/>
          <w:color w:val="000000" w:themeColor="text1"/>
          <w:sz w:val="18"/>
          <w:szCs w:val="18"/>
        </w:rPr>
        <w:t>1994;16:241</w:t>
      </w:r>
      <w:proofErr w:type="gramEnd"/>
      <w:r w:rsidRPr="008A3D73">
        <w:rPr>
          <w:rFonts w:ascii="Verdana" w:hAnsi="Verdana" w:cs="Times New Roman"/>
          <w:color w:val="000000" w:themeColor="text1"/>
          <w:sz w:val="18"/>
          <w:szCs w:val="18"/>
        </w:rPr>
        <w:t xml:space="preserve">–245. </w:t>
      </w:r>
    </w:p>
    <w:p w14:paraId="43768132" w14:textId="77777777" w:rsidR="008A3D73" w:rsidRDefault="008A3D73" w:rsidP="008A3D73">
      <w:pPr>
        <w:pStyle w:val="Listenabsatz"/>
        <w:numPr>
          <w:ilvl w:val="0"/>
          <w:numId w:val="1"/>
        </w:numPr>
        <w:rPr>
          <w:rFonts w:ascii="Verdana" w:hAnsi="Verdana" w:cs="Times New Roman"/>
          <w:color w:val="000000" w:themeColor="text1"/>
          <w:sz w:val="18"/>
          <w:szCs w:val="18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Lodinová-Žádníková R, Sonnenborn U. Effect of preventive administration of a nonpathogenic Escherichia coli strain on the colonization of the intestine with microbial pathogens in newborn infants. </w:t>
      </w:r>
      <w:r w:rsidRPr="008A3D73">
        <w:rPr>
          <w:rFonts w:ascii="Verdana" w:hAnsi="Verdana" w:cs="Times New Roman"/>
          <w:color w:val="000000" w:themeColor="text1"/>
          <w:sz w:val="18"/>
          <w:szCs w:val="18"/>
        </w:rPr>
        <w:t xml:space="preserve">Biol Neonate 1997; 71: 224–232. </w:t>
      </w:r>
    </w:p>
    <w:p w14:paraId="64461C19" w14:textId="77777777" w:rsidR="008A3D73" w:rsidRPr="008A3D73" w:rsidRDefault="008A3D73" w:rsidP="008A3D73">
      <w:pPr>
        <w:pStyle w:val="Listenabsatz"/>
        <w:numPr>
          <w:ilvl w:val="0"/>
          <w:numId w:val="1"/>
        </w:numPr>
        <w:rPr>
          <w:rFonts w:ascii="Verdana" w:hAnsi="Verdana" w:cs="Times New Roman"/>
          <w:color w:val="000000" w:themeColor="text1"/>
          <w:sz w:val="18"/>
          <w:szCs w:val="18"/>
        </w:rPr>
      </w:pPr>
      <w:r w:rsidRPr="008A3D73">
        <w:rPr>
          <w:rFonts w:ascii="Verdana" w:hAnsi="Verdana" w:cs="Times New Roman"/>
          <w:color w:val="000000" w:themeColor="text1"/>
          <w:sz w:val="18"/>
          <w:szCs w:val="18"/>
        </w:rPr>
        <w:t xml:space="preserve">Sonnenborn U, Stobernack HP, Proppert Y. Die Entwicklung der aeroben Darmflora bei Neugeborenen. Fortschr Med </w:t>
      </w:r>
      <w:proofErr w:type="gramStart"/>
      <w:r w:rsidRPr="008A3D73">
        <w:rPr>
          <w:rFonts w:ascii="Verdana" w:hAnsi="Verdana" w:cs="Times New Roman"/>
          <w:color w:val="000000" w:themeColor="text1"/>
          <w:sz w:val="18"/>
          <w:szCs w:val="18"/>
        </w:rPr>
        <w:t>1990;108:420</w:t>
      </w:r>
      <w:proofErr w:type="gramEnd"/>
      <w:r w:rsidRPr="008A3D73">
        <w:rPr>
          <w:rFonts w:ascii="Verdana" w:hAnsi="Verdana" w:cs="Times New Roman"/>
          <w:color w:val="000000" w:themeColor="text1"/>
          <w:sz w:val="18"/>
          <w:szCs w:val="18"/>
        </w:rPr>
        <w:t>–424.</w:t>
      </w:r>
    </w:p>
    <w:p w14:paraId="5FA9F2F2" w14:textId="77777777" w:rsidR="0056033F" w:rsidRPr="0056033F" w:rsidRDefault="0056033F" w:rsidP="0056033F">
      <w:pPr>
        <w:pStyle w:val="Listenabsatz"/>
        <w:numPr>
          <w:ilvl w:val="0"/>
          <w:numId w:val="1"/>
        </w:numPr>
        <w:rPr>
          <w:rFonts w:ascii="Verdana" w:hAnsi="Verdana" w:cs="Times New Roman"/>
          <w:color w:val="000000" w:themeColor="text1"/>
          <w:sz w:val="18"/>
          <w:szCs w:val="18"/>
        </w:rPr>
      </w:pPr>
      <w:r w:rsidRPr="0056033F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Henker J et al. The probiotic Escherichia coli strain Nissle 1917 (EcN) stops acute diarrhoea in infants and toddlers. </w:t>
      </w:r>
      <w:r w:rsidRPr="0056033F">
        <w:rPr>
          <w:rFonts w:ascii="Verdana" w:hAnsi="Verdana" w:cs="Times New Roman"/>
          <w:color w:val="000000" w:themeColor="text1"/>
          <w:sz w:val="18"/>
          <w:szCs w:val="18"/>
        </w:rPr>
        <w:t>Eur J Pediatr 2007; 166(4): 311–318.</w:t>
      </w:r>
    </w:p>
    <w:p w14:paraId="50E5C1AA" w14:textId="77777777" w:rsidR="00D01E66" w:rsidRDefault="0056033F" w:rsidP="00D1274F">
      <w:pPr>
        <w:pStyle w:val="Listenabsatz"/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r w:rsidRPr="00D01E66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Henker J </w:t>
      </w:r>
      <w:proofErr w:type="gramStart"/>
      <w:r w:rsidRPr="00D01E66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proofErr w:type="gramEnd"/>
      <w:r w:rsidRPr="00D01E66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 Probiotic Escherichia coli Nissle 1917 versus placebo for treating diarrhea of greater than 4 days duration in infants and toddlers. Pediatr Infect Dis J 2008; 27(6): 494–499.</w:t>
      </w:r>
    </w:p>
    <w:p w14:paraId="5837CFF8" w14:textId="769059B1" w:rsidR="00D01E66" w:rsidRPr="00147185" w:rsidRDefault="00D01E66" w:rsidP="00637578">
      <w:pPr>
        <w:pStyle w:val="Listenabsatz"/>
        <w:numPr>
          <w:ilvl w:val="0"/>
          <w:numId w:val="1"/>
        </w:numPr>
        <w:spacing w:after="0" w:line="280" w:lineRule="atLeast"/>
        <w:rPr>
          <w:rFonts w:ascii="Verdana" w:hAnsi="Verdana" w:cs="Times New Roman"/>
          <w:color w:val="000000" w:themeColor="text1"/>
          <w:sz w:val="18"/>
          <w:szCs w:val="18"/>
          <w:lang w:val="en-US"/>
        </w:rPr>
      </w:pPr>
      <w:proofErr w:type="spellStart"/>
      <w:r w:rsidRPr="00147185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Sassone-Corsi</w:t>
      </w:r>
      <w:proofErr w:type="spellEnd"/>
      <w:r w:rsidRPr="00147185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 M et al. Microcins mediate competition among Enterobacteriaceae in the inflamed gut. Nature 2016; 540: 280–295.</w:t>
      </w:r>
    </w:p>
    <w:sectPr w:rsidR="00D01E66" w:rsidRPr="00147185" w:rsidSect="004051AF">
      <w:headerReference w:type="default" r:id="rId8"/>
      <w:footerReference w:type="even" r:id="rId9"/>
      <w:footerReference w:type="default" r:id="rId10"/>
      <w:pgSz w:w="11900" w:h="16840"/>
      <w:pgMar w:top="3119" w:right="1695" w:bottom="1418" w:left="1701" w:header="709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17FAE" w14:textId="77777777" w:rsidR="00E05A94" w:rsidRDefault="00E05A94">
      <w:r>
        <w:separator/>
      </w:r>
    </w:p>
  </w:endnote>
  <w:endnote w:type="continuationSeparator" w:id="0">
    <w:p w14:paraId="2528B361" w14:textId="77777777" w:rsidR="00E05A94" w:rsidRDefault="00E0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769C" w14:textId="77777777" w:rsidR="00147185" w:rsidRDefault="00147185" w:rsidP="00B468F3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02DA46" w14:textId="77777777" w:rsidR="00147185" w:rsidRDefault="0014718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849B" w14:textId="77777777" w:rsidR="00147185" w:rsidRDefault="00147185" w:rsidP="00147185">
    <w:pPr>
      <w:pStyle w:val="Fuzeile"/>
      <w:framePr w:wrap="none" w:vAnchor="text" w:hAnchor="margin" w:xAlign="center" w:y="1"/>
      <w:spacing w:line="240" w:lineRule="auto"/>
      <w:rPr>
        <w:rStyle w:val="Seitenzahl"/>
      </w:rPr>
    </w:pPr>
  </w:p>
  <w:p w14:paraId="178E2154" w14:textId="77777777" w:rsidR="00147185" w:rsidRDefault="00147185" w:rsidP="00147185">
    <w:pPr>
      <w:pStyle w:val="Fuzeile"/>
      <w:framePr w:wrap="none" w:vAnchor="text" w:hAnchor="margin" w:xAlign="center" w:y="1"/>
      <w:spacing w:line="240" w:lineRule="auto"/>
      <w:rPr>
        <w:rStyle w:val="Seitenzahl"/>
      </w:rPr>
    </w:pPr>
  </w:p>
  <w:p w14:paraId="427ECF76" w14:textId="77777777" w:rsidR="00147185" w:rsidRPr="00147185" w:rsidRDefault="00147185" w:rsidP="00147185">
    <w:pPr>
      <w:pStyle w:val="Fuzeile"/>
      <w:framePr w:wrap="none" w:vAnchor="text" w:hAnchor="margin" w:xAlign="center" w:y="1"/>
      <w:jc w:val="center"/>
      <w:rPr>
        <w:rStyle w:val="Seitenzahl"/>
        <w:rFonts w:ascii="Verdana" w:hAnsi="Verdana"/>
        <w:sz w:val="20"/>
        <w:szCs w:val="20"/>
      </w:rPr>
    </w:pPr>
    <w:r w:rsidRPr="00147185">
      <w:rPr>
        <w:rStyle w:val="Seitenzahl"/>
        <w:rFonts w:ascii="Verdana" w:hAnsi="Verdana"/>
        <w:sz w:val="20"/>
        <w:szCs w:val="20"/>
      </w:rPr>
      <w:fldChar w:fldCharType="begin"/>
    </w:r>
    <w:r w:rsidRPr="00147185">
      <w:rPr>
        <w:rStyle w:val="Seitenzahl"/>
        <w:rFonts w:ascii="Verdana" w:hAnsi="Verdana"/>
        <w:sz w:val="20"/>
        <w:szCs w:val="20"/>
      </w:rPr>
      <w:instrText xml:space="preserve">PAGE  </w:instrText>
    </w:r>
    <w:r w:rsidRPr="00147185">
      <w:rPr>
        <w:rStyle w:val="Seitenzahl"/>
        <w:rFonts w:ascii="Verdana" w:hAnsi="Verdana"/>
        <w:sz w:val="20"/>
        <w:szCs w:val="20"/>
      </w:rPr>
      <w:fldChar w:fldCharType="separate"/>
    </w:r>
    <w:r w:rsidR="004051AF">
      <w:rPr>
        <w:rStyle w:val="Seitenzahl"/>
        <w:rFonts w:ascii="Verdana" w:hAnsi="Verdana"/>
        <w:noProof/>
        <w:sz w:val="20"/>
        <w:szCs w:val="20"/>
      </w:rPr>
      <w:t>3</w:t>
    </w:r>
    <w:r w:rsidRPr="00147185">
      <w:rPr>
        <w:rStyle w:val="Seitenzahl"/>
        <w:rFonts w:ascii="Verdana" w:hAnsi="Verdana"/>
        <w:sz w:val="20"/>
        <w:szCs w:val="20"/>
      </w:rPr>
      <w:fldChar w:fldCharType="end"/>
    </w:r>
  </w:p>
  <w:p w14:paraId="2DF24647" w14:textId="77777777" w:rsidR="00147185" w:rsidRDefault="0014718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27CF" w14:textId="77777777" w:rsidR="00E05A94" w:rsidRDefault="00E05A94">
      <w:r>
        <w:separator/>
      </w:r>
    </w:p>
  </w:footnote>
  <w:footnote w:type="continuationSeparator" w:id="0">
    <w:p w14:paraId="730B4518" w14:textId="77777777" w:rsidR="00E05A94" w:rsidRDefault="00E05A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F7AA" w14:textId="77777777" w:rsidR="00ED1BE0" w:rsidRDefault="00557C11" w:rsidP="00E553DC">
    <w:pPr>
      <w:pStyle w:val="Kopfzeile"/>
      <w:ind w:left="284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AE96716" wp14:editId="1724B7F2">
          <wp:simplePos x="0" y="0"/>
          <wp:positionH relativeFrom="page">
            <wp:posOffset>-1760</wp:posOffset>
          </wp:positionH>
          <wp:positionV relativeFrom="page">
            <wp:posOffset>0</wp:posOffset>
          </wp:positionV>
          <wp:extent cx="7560000" cy="1548290"/>
          <wp:effectExtent l="25400" t="0" r="9200" b="0"/>
          <wp:wrapNone/>
          <wp:docPr id="1" name="Bild 1" descr="alfred-nissle-gesellshaft-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red-nissle-gesellshaft-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4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0A0A"/>
    <w:multiLevelType w:val="hybridMultilevel"/>
    <w:tmpl w:val="B17EC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9014A"/>
    <w:multiLevelType w:val="hybridMultilevel"/>
    <w:tmpl w:val="244CF490"/>
    <w:lvl w:ilvl="0" w:tplc="0407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D624491"/>
    <w:multiLevelType w:val="hybridMultilevel"/>
    <w:tmpl w:val="225C92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32812"/>
    <w:multiLevelType w:val="hybridMultilevel"/>
    <w:tmpl w:val="CF80EA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47" w:hanging="360"/>
      </w:pPr>
    </w:lvl>
    <w:lvl w:ilvl="2" w:tplc="0407001B" w:tentative="1">
      <w:start w:val="1"/>
      <w:numFmt w:val="lowerRoman"/>
      <w:lvlText w:val="%3."/>
      <w:lvlJc w:val="right"/>
      <w:pPr>
        <w:ind w:left="1167" w:hanging="180"/>
      </w:pPr>
    </w:lvl>
    <w:lvl w:ilvl="3" w:tplc="0407000F" w:tentative="1">
      <w:start w:val="1"/>
      <w:numFmt w:val="decimal"/>
      <w:lvlText w:val="%4."/>
      <w:lvlJc w:val="left"/>
      <w:pPr>
        <w:ind w:left="1887" w:hanging="360"/>
      </w:pPr>
    </w:lvl>
    <w:lvl w:ilvl="4" w:tplc="04070019" w:tentative="1">
      <w:start w:val="1"/>
      <w:numFmt w:val="lowerLetter"/>
      <w:lvlText w:val="%5."/>
      <w:lvlJc w:val="left"/>
      <w:pPr>
        <w:ind w:left="2607" w:hanging="360"/>
      </w:pPr>
    </w:lvl>
    <w:lvl w:ilvl="5" w:tplc="0407001B" w:tentative="1">
      <w:start w:val="1"/>
      <w:numFmt w:val="lowerRoman"/>
      <w:lvlText w:val="%6."/>
      <w:lvlJc w:val="right"/>
      <w:pPr>
        <w:ind w:left="3327" w:hanging="180"/>
      </w:pPr>
    </w:lvl>
    <w:lvl w:ilvl="6" w:tplc="0407000F" w:tentative="1">
      <w:start w:val="1"/>
      <w:numFmt w:val="decimal"/>
      <w:lvlText w:val="%7."/>
      <w:lvlJc w:val="left"/>
      <w:pPr>
        <w:ind w:left="4047" w:hanging="360"/>
      </w:pPr>
    </w:lvl>
    <w:lvl w:ilvl="7" w:tplc="04070019" w:tentative="1">
      <w:start w:val="1"/>
      <w:numFmt w:val="lowerLetter"/>
      <w:lvlText w:val="%8."/>
      <w:lvlJc w:val="left"/>
      <w:pPr>
        <w:ind w:left="4767" w:hanging="360"/>
      </w:pPr>
    </w:lvl>
    <w:lvl w:ilvl="8" w:tplc="0407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7F1B7121"/>
    <w:multiLevelType w:val="hybridMultilevel"/>
    <w:tmpl w:val="B21C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8"/>
    <w:rsid w:val="00011F1E"/>
    <w:rsid w:val="000178B4"/>
    <w:rsid w:val="00040195"/>
    <w:rsid w:val="00040C23"/>
    <w:rsid w:val="000600F6"/>
    <w:rsid w:val="000737A1"/>
    <w:rsid w:val="00092F14"/>
    <w:rsid w:val="000A1D8E"/>
    <w:rsid w:val="00103869"/>
    <w:rsid w:val="0011102E"/>
    <w:rsid w:val="00111D58"/>
    <w:rsid w:val="0014441C"/>
    <w:rsid w:val="001469B2"/>
    <w:rsid w:val="00147185"/>
    <w:rsid w:val="00152343"/>
    <w:rsid w:val="00155AD4"/>
    <w:rsid w:val="00167031"/>
    <w:rsid w:val="001C55D0"/>
    <w:rsid w:val="001E7519"/>
    <w:rsid w:val="001F5A1F"/>
    <w:rsid w:val="00212336"/>
    <w:rsid w:val="00265292"/>
    <w:rsid w:val="0028693A"/>
    <w:rsid w:val="002C28F8"/>
    <w:rsid w:val="002C5CD2"/>
    <w:rsid w:val="002E60BC"/>
    <w:rsid w:val="002F2724"/>
    <w:rsid w:val="00312D18"/>
    <w:rsid w:val="003163C9"/>
    <w:rsid w:val="00323392"/>
    <w:rsid w:val="00334C8A"/>
    <w:rsid w:val="003514DD"/>
    <w:rsid w:val="0036678D"/>
    <w:rsid w:val="0037460A"/>
    <w:rsid w:val="00375C60"/>
    <w:rsid w:val="00391DA7"/>
    <w:rsid w:val="003B0663"/>
    <w:rsid w:val="003E387B"/>
    <w:rsid w:val="003F43CD"/>
    <w:rsid w:val="004051AF"/>
    <w:rsid w:val="00446E43"/>
    <w:rsid w:val="00470C45"/>
    <w:rsid w:val="0047481A"/>
    <w:rsid w:val="00491903"/>
    <w:rsid w:val="004A2844"/>
    <w:rsid w:val="004C731B"/>
    <w:rsid w:val="004D5864"/>
    <w:rsid w:val="004F6D5E"/>
    <w:rsid w:val="0051381B"/>
    <w:rsid w:val="00523817"/>
    <w:rsid w:val="0052784B"/>
    <w:rsid w:val="00532C27"/>
    <w:rsid w:val="005379EA"/>
    <w:rsid w:val="00542273"/>
    <w:rsid w:val="00557C11"/>
    <w:rsid w:val="0056033F"/>
    <w:rsid w:val="0057645F"/>
    <w:rsid w:val="005772AF"/>
    <w:rsid w:val="00584987"/>
    <w:rsid w:val="00593163"/>
    <w:rsid w:val="005A2E81"/>
    <w:rsid w:val="005B3AC1"/>
    <w:rsid w:val="005D5826"/>
    <w:rsid w:val="006074EE"/>
    <w:rsid w:val="00623EE4"/>
    <w:rsid w:val="00627C4E"/>
    <w:rsid w:val="006339AA"/>
    <w:rsid w:val="006679D3"/>
    <w:rsid w:val="00696423"/>
    <w:rsid w:val="006A4262"/>
    <w:rsid w:val="006B76BD"/>
    <w:rsid w:val="006C20F1"/>
    <w:rsid w:val="006E400C"/>
    <w:rsid w:val="00706118"/>
    <w:rsid w:val="00711A8D"/>
    <w:rsid w:val="00736A83"/>
    <w:rsid w:val="00780674"/>
    <w:rsid w:val="00786138"/>
    <w:rsid w:val="00790C61"/>
    <w:rsid w:val="00794DDD"/>
    <w:rsid w:val="007968D6"/>
    <w:rsid w:val="007A6D9E"/>
    <w:rsid w:val="007A78B7"/>
    <w:rsid w:val="007B6F9F"/>
    <w:rsid w:val="007E7499"/>
    <w:rsid w:val="007F4E3C"/>
    <w:rsid w:val="00807F57"/>
    <w:rsid w:val="00813C60"/>
    <w:rsid w:val="00831B7B"/>
    <w:rsid w:val="00832162"/>
    <w:rsid w:val="00851081"/>
    <w:rsid w:val="00851548"/>
    <w:rsid w:val="008538F3"/>
    <w:rsid w:val="00870650"/>
    <w:rsid w:val="00870EC5"/>
    <w:rsid w:val="008A1F2A"/>
    <w:rsid w:val="008A3D73"/>
    <w:rsid w:val="008A7BC0"/>
    <w:rsid w:val="008B17B5"/>
    <w:rsid w:val="008B18F4"/>
    <w:rsid w:val="008C060B"/>
    <w:rsid w:val="008D228A"/>
    <w:rsid w:val="00906D23"/>
    <w:rsid w:val="00951D8A"/>
    <w:rsid w:val="009765E1"/>
    <w:rsid w:val="00997194"/>
    <w:rsid w:val="009B1B5E"/>
    <w:rsid w:val="009C26B5"/>
    <w:rsid w:val="009C738F"/>
    <w:rsid w:val="009E73B7"/>
    <w:rsid w:val="00A04A6B"/>
    <w:rsid w:val="00A16EBD"/>
    <w:rsid w:val="00A32636"/>
    <w:rsid w:val="00A533BD"/>
    <w:rsid w:val="00A552B3"/>
    <w:rsid w:val="00A64C01"/>
    <w:rsid w:val="00A66484"/>
    <w:rsid w:val="00A74832"/>
    <w:rsid w:val="00A87A85"/>
    <w:rsid w:val="00A93844"/>
    <w:rsid w:val="00A949C1"/>
    <w:rsid w:val="00AA39AA"/>
    <w:rsid w:val="00AB4665"/>
    <w:rsid w:val="00AB504B"/>
    <w:rsid w:val="00AC1778"/>
    <w:rsid w:val="00AC659E"/>
    <w:rsid w:val="00AD21A0"/>
    <w:rsid w:val="00AD31C9"/>
    <w:rsid w:val="00AD3658"/>
    <w:rsid w:val="00AF2EFA"/>
    <w:rsid w:val="00AF3678"/>
    <w:rsid w:val="00AF4B87"/>
    <w:rsid w:val="00B310BB"/>
    <w:rsid w:val="00B41CA8"/>
    <w:rsid w:val="00B52B51"/>
    <w:rsid w:val="00B54CD4"/>
    <w:rsid w:val="00B6208C"/>
    <w:rsid w:val="00BB654A"/>
    <w:rsid w:val="00BC217F"/>
    <w:rsid w:val="00BC4798"/>
    <w:rsid w:val="00BD5B75"/>
    <w:rsid w:val="00BE3BBE"/>
    <w:rsid w:val="00BF1F02"/>
    <w:rsid w:val="00BF5A6C"/>
    <w:rsid w:val="00C13045"/>
    <w:rsid w:val="00C27A7C"/>
    <w:rsid w:val="00C42C0D"/>
    <w:rsid w:val="00C477E9"/>
    <w:rsid w:val="00C47894"/>
    <w:rsid w:val="00C50484"/>
    <w:rsid w:val="00C5707E"/>
    <w:rsid w:val="00C622DC"/>
    <w:rsid w:val="00C65AE1"/>
    <w:rsid w:val="00C67817"/>
    <w:rsid w:val="00C755CB"/>
    <w:rsid w:val="00C76F78"/>
    <w:rsid w:val="00C87ECC"/>
    <w:rsid w:val="00CA32B3"/>
    <w:rsid w:val="00CB1A84"/>
    <w:rsid w:val="00CB4D1D"/>
    <w:rsid w:val="00CB6D98"/>
    <w:rsid w:val="00CD0B20"/>
    <w:rsid w:val="00CE3DC0"/>
    <w:rsid w:val="00CF41CD"/>
    <w:rsid w:val="00D01E66"/>
    <w:rsid w:val="00D0355B"/>
    <w:rsid w:val="00D51DD8"/>
    <w:rsid w:val="00D73FCF"/>
    <w:rsid w:val="00DA3544"/>
    <w:rsid w:val="00DA57B7"/>
    <w:rsid w:val="00DB3DDC"/>
    <w:rsid w:val="00DE3F27"/>
    <w:rsid w:val="00DF537A"/>
    <w:rsid w:val="00DF5ACE"/>
    <w:rsid w:val="00E05A94"/>
    <w:rsid w:val="00E168D1"/>
    <w:rsid w:val="00E20973"/>
    <w:rsid w:val="00E252D9"/>
    <w:rsid w:val="00E553DC"/>
    <w:rsid w:val="00E62D4F"/>
    <w:rsid w:val="00E76326"/>
    <w:rsid w:val="00E83F1C"/>
    <w:rsid w:val="00EA6BDE"/>
    <w:rsid w:val="00EB73BB"/>
    <w:rsid w:val="00ED0CA2"/>
    <w:rsid w:val="00ED1BE0"/>
    <w:rsid w:val="00EE5450"/>
    <w:rsid w:val="00F255EA"/>
    <w:rsid w:val="00F44FFA"/>
    <w:rsid w:val="00F47C92"/>
    <w:rsid w:val="00F51F18"/>
    <w:rsid w:val="00F566D7"/>
    <w:rsid w:val="00F75392"/>
    <w:rsid w:val="00F93763"/>
    <w:rsid w:val="00F97A11"/>
    <w:rsid w:val="00FA0892"/>
    <w:rsid w:val="00FB4860"/>
    <w:rsid w:val="00FC22B2"/>
    <w:rsid w:val="00FD5364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4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8C060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1F1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1F18"/>
  </w:style>
  <w:style w:type="paragraph" w:styleId="Fuzeile">
    <w:name w:val="footer"/>
    <w:basedOn w:val="Standard"/>
    <w:link w:val="FuzeileZchn"/>
    <w:uiPriority w:val="99"/>
    <w:unhideWhenUsed/>
    <w:rsid w:val="00F51F1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1F18"/>
  </w:style>
  <w:style w:type="paragraph" w:customStyle="1" w:styleId="EinfAbs">
    <w:name w:val="[Einf. Abs.]"/>
    <w:basedOn w:val="Standard"/>
    <w:uiPriority w:val="99"/>
    <w:rsid w:val="005772AF"/>
    <w:pPr>
      <w:widowControl w:val="0"/>
      <w:autoSpaceDE w:val="0"/>
      <w:autoSpaceDN w:val="0"/>
      <w:adjustRightInd w:val="0"/>
      <w:spacing w:after="113" w:line="360" w:lineRule="atLeast"/>
      <w:textAlignment w:val="center"/>
    </w:pPr>
    <w:rPr>
      <w:rFonts w:ascii="MinionPro-Regular" w:hAnsi="MinionPro-Regular" w:cs="MinionPro-Regular"/>
      <w:color w:val="000000"/>
      <w:spacing w:val="2"/>
    </w:rPr>
  </w:style>
  <w:style w:type="character" w:customStyle="1" w:styleId="bold">
    <w:name w:val="bold"/>
    <w:uiPriority w:val="99"/>
    <w:rsid w:val="005772AF"/>
    <w:rPr>
      <w:b/>
      <w:bCs/>
    </w:rPr>
  </w:style>
  <w:style w:type="paragraph" w:customStyle="1" w:styleId="TitelPressemitteilung">
    <w:name w:val="_Titel Pressemitteilung"/>
    <w:qFormat/>
    <w:rsid w:val="00111D58"/>
    <w:rPr>
      <w:rFonts w:ascii="Times New Roman" w:hAnsi="Times New Roman" w:cs="MinionPro-Regular"/>
      <w:b/>
      <w:color w:val="000000"/>
      <w:spacing w:val="2"/>
    </w:rPr>
  </w:style>
  <w:style w:type="character" w:customStyle="1" w:styleId="italic">
    <w:name w:val="italic"/>
    <w:uiPriority w:val="99"/>
    <w:rsid w:val="00ED1BE0"/>
    <w:rPr>
      <w:i/>
      <w:iCs/>
    </w:rPr>
  </w:style>
  <w:style w:type="paragraph" w:customStyle="1" w:styleId="Pressetext">
    <w:name w:val="_Pressetext"/>
    <w:basedOn w:val="EinfAbs"/>
    <w:qFormat/>
    <w:rsid w:val="00ED1BE0"/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rsid w:val="00375C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75C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060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060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060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060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F4B8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AF4B87"/>
    <w:rPr>
      <w:b/>
      <w:bCs/>
      <w:sz w:val="20"/>
      <w:szCs w:val="20"/>
    </w:rPr>
  </w:style>
  <w:style w:type="character" w:styleId="Seitenzahl">
    <w:name w:val="page number"/>
    <w:basedOn w:val="Absatz-Standardschriftart"/>
    <w:semiHidden/>
    <w:unhideWhenUsed/>
    <w:rsid w:val="0014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93A-2486-FF45-A4FA-A647A425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6392</Characters>
  <Application>Microsoft Macintosh Word</Application>
  <DocSecurity>0</DocSecurity>
  <Lines>118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Ammersee Communication</Company>
  <LinksUpToDate>false</LinksUpToDate>
  <CharactersWithSpaces>7381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Schwarz</dc:creator>
  <cp:keywords/>
  <dc:description/>
  <cp:lastModifiedBy>Steffen Schwab</cp:lastModifiedBy>
  <cp:revision>4</cp:revision>
  <cp:lastPrinted>2017-04-12T10:41:00Z</cp:lastPrinted>
  <dcterms:created xsi:type="dcterms:W3CDTF">2017-04-19T16:01:00Z</dcterms:created>
  <dcterms:modified xsi:type="dcterms:W3CDTF">2017-04-24T16:15:00Z</dcterms:modified>
  <cp:category/>
</cp:coreProperties>
</file>