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FD14" w14:textId="77777777" w:rsidR="008C060B" w:rsidRPr="007C0D68" w:rsidRDefault="008C060B" w:rsidP="003B0663">
      <w:pPr>
        <w:spacing w:line="360" w:lineRule="atLeast"/>
        <w:rPr>
          <w:rFonts w:ascii="Verdana" w:hAnsi="Verdana" w:cs="Times New Roman"/>
          <w:b/>
          <w:sz w:val="28"/>
          <w:szCs w:val="28"/>
        </w:rPr>
      </w:pPr>
      <w:r w:rsidRPr="007C0D68">
        <w:rPr>
          <w:rFonts w:ascii="Verdana" w:hAnsi="Verdana" w:cs="Times New Roman"/>
          <w:b/>
          <w:sz w:val="28"/>
          <w:szCs w:val="28"/>
        </w:rPr>
        <w:t>Hintergrundinformation</w:t>
      </w:r>
    </w:p>
    <w:p w14:paraId="77F0E4F6" w14:textId="48D30E2A" w:rsidR="00F51F18" w:rsidRDefault="00D122E9" w:rsidP="00D122E9">
      <w:pPr>
        <w:spacing w:line="360" w:lineRule="atLeast"/>
        <w:rPr>
          <w:rFonts w:ascii="Verdana" w:hAnsi="Verdana" w:cs="Times New Roman"/>
          <w:b/>
          <w:sz w:val="32"/>
          <w:szCs w:val="32"/>
        </w:rPr>
      </w:pPr>
      <w:r w:rsidRPr="00D122E9">
        <w:rPr>
          <w:rFonts w:ascii="Verdana" w:hAnsi="Verdana" w:cs="Times New Roman"/>
          <w:b/>
          <w:sz w:val="32"/>
          <w:szCs w:val="32"/>
        </w:rPr>
        <w:t>Stammspezifische Eigenschaften un</w:t>
      </w:r>
      <w:r w:rsidR="00142B4F">
        <w:rPr>
          <w:rFonts w:ascii="Verdana" w:hAnsi="Verdana" w:cs="Times New Roman"/>
          <w:b/>
          <w:sz w:val="32"/>
          <w:szCs w:val="32"/>
        </w:rPr>
        <w:t>d</w:t>
      </w:r>
      <w:r w:rsidRPr="00D122E9">
        <w:rPr>
          <w:rFonts w:ascii="Verdana" w:hAnsi="Verdana" w:cs="Times New Roman"/>
          <w:b/>
          <w:sz w:val="32"/>
          <w:szCs w:val="32"/>
        </w:rPr>
        <w:t xml:space="preserve"> Wirkprinzipien von Escherichia coli Stamm Nissle 1917</w:t>
      </w:r>
    </w:p>
    <w:p w14:paraId="536CA3B3" w14:textId="356997A6" w:rsidR="00D122E9" w:rsidRPr="007C0D68" w:rsidRDefault="00350840" w:rsidP="00D122E9">
      <w:pPr>
        <w:spacing w:line="280" w:lineRule="atLeast"/>
        <w:rPr>
          <w:rFonts w:ascii="Verdana" w:hAnsi="Verdana" w:cs="Times New Roman"/>
          <w:b/>
          <w:sz w:val="20"/>
          <w:szCs w:val="20"/>
        </w:rPr>
      </w:pPr>
      <w:r w:rsidRPr="007C0D68">
        <w:rPr>
          <w:rFonts w:ascii="Verdana" w:hAnsi="Verdana" w:cs="Times New Roman"/>
          <w:b/>
          <w:sz w:val="20"/>
          <w:szCs w:val="20"/>
        </w:rPr>
        <w:t>D</w:t>
      </w:r>
      <w:r w:rsidR="00D122E9" w:rsidRPr="007C0D68">
        <w:rPr>
          <w:rFonts w:ascii="Verdana" w:hAnsi="Verdana" w:cs="Times New Roman"/>
          <w:b/>
          <w:sz w:val="20"/>
          <w:szCs w:val="20"/>
        </w:rPr>
        <w:t>as natürliche Darmbakterium Escherichia coli Stamm Nissle 1917 (EcN) wurde umfangreich erforscht und sein Genom komplett sequenziert: EcN ist apathogen, genetisch stabil, durchsetzungsfähig, antagonistisch aktiv gegenüber Fremdkeimen, antientzündlich und immunmodulierend wirksam.</w:t>
      </w:r>
    </w:p>
    <w:p w14:paraId="09D0E405"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Nicht jedes Bakterium aus der natürlichen Darmmikrobiota eignet sich als Probiotikum. E. coli besitzt als weitverbreiteter Erstbesiedler des Darms wichtige Voraussetzungen zur Förderung der Darmgesundheit. Doch erst seine stammspezifischen Eigenschaften machen EcN zu einem effektiven probiotischen Therapeutikum. Sie fördern zum einen seine Ansiedlung und Resistenz im Ökosystem Darm und sind zum anderen essenziell für die therapeutische Wirksamkeit</w:t>
      </w:r>
      <w:r w:rsidRPr="007C0D68">
        <w:rPr>
          <w:rFonts w:ascii="Verdana" w:hAnsi="Verdana" w:cs="Times New Roman"/>
          <w:color w:val="000000" w:themeColor="text1"/>
          <w:sz w:val="20"/>
          <w:szCs w:val="20"/>
        </w:rPr>
        <w:t>.</w:t>
      </w:r>
    </w:p>
    <w:p w14:paraId="2DC84D10" w14:textId="77777777" w:rsidR="00D122E9" w:rsidRPr="007C0D68" w:rsidRDefault="00D122E9" w:rsidP="00D122E9">
      <w:pPr>
        <w:spacing w:after="0" w:line="280" w:lineRule="atLeast"/>
        <w:rPr>
          <w:rFonts w:ascii="Verdana" w:hAnsi="Verdana" w:cs="Times New Roman"/>
          <w:b/>
          <w:sz w:val="20"/>
          <w:szCs w:val="20"/>
        </w:rPr>
      </w:pPr>
      <w:r w:rsidRPr="007C0D68">
        <w:rPr>
          <w:rFonts w:ascii="Verdana" w:hAnsi="Verdana" w:cs="Times New Roman"/>
          <w:b/>
          <w:sz w:val="20"/>
          <w:szCs w:val="20"/>
        </w:rPr>
        <w:t>Ein Stamm mit vielen Besonderheiten</w:t>
      </w:r>
    </w:p>
    <w:p w14:paraId="78412FF5"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 xml:space="preserve">Verschiedene spezifische Eigenschaften wurden im Rahmen eines umfangreichen Studienprogramms nachgewiesen und sind nicht auf andere Probiotika übertragbar. Charakteristisch für EcN sind etwa Flagellen zur aktiven Fortbewegung und Adhärenz an der Darmwand, verschiedene Fimbrien zur Ausbildung eines </w:t>
      </w:r>
      <w:proofErr w:type="spellStart"/>
      <w:r w:rsidRPr="007C0D68">
        <w:rPr>
          <w:rFonts w:ascii="Verdana" w:hAnsi="Verdana" w:cs="Times New Roman"/>
          <w:sz w:val="20"/>
          <w:szCs w:val="20"/>
        </w:rPr>
        <w:t>Biofilms</w:t>
      </w:r>
      <w:proofErr w:type="spellEnd"/>
      <w:r w:rsidRPr="007C0D68">
        <w:rPr>
          <w:rFonts w:ascii="Verdana" w:hAnsi="Verdana" w:cs="Times New Roman"/>
          <w:sz w:val="20"/>
          <w:szCs w:val="20"/>
        </w:rPr>
        <w:t>, die Ausschüttung antagonistischer Mikrocine sowie eine besondere immunmodularische Lipopolysaccharid-Variante (LPS), die bisher bei keinem anderen Stamm nachgewiesen wurde (Abb. 1).</w:t>
      </w:r>
    </w:p>
    <w:p w14:paraId="77D9BF57" w14:textId="77777777" w:rsidR="00D122E9" w:rsidRPr="007C0D68" w:rsidRDefault="00D122E9" w:rsidP="00D122E9">
      <w:pPr>
        <w:spacing w:after="120" w:line="280" w:lineRule="atLeast"/>
        <w:rPr>
          <w:rFonts w:ascii="Verdana" w:hAnsi="Verdana" w:cs="Times New Roman"/>
          <w:sz w:val="20"/>
          <w:szCs w:val="20"/>
        </w:rPr>
      </w:pPr>
      <w:r w:rsidRPr="007C0D68">
        <w:rPr>
          <w:rFonts w:ascii="Verdana" w:hAnsi="Verdana" w:cs="Times New Roman"/>
          <w:sz w:val="20"/>
          <w:szCs w:val="20"/>
        </w:rPr>
        <w:t>EcN ist:</w:t>
      </w:r>
    </w:p>
    <w:p w14:paraId="778E57D3" w14:textId="77777777" w:rsidR="00D122E9" w:rsidRPr="007C0D68" w:rsidRDefault="00D122E9" w:rsidP="00D122E9">
      <w:pPr>
        <w:pStyle w:val="Listenabsatz"/>
        <w:numPr>
          <w:ilvl w:val="0"/>
          <w:numId w:val="4"/>
        </w:numPr>
        <w:spacing w:before="120" w:after="0" w:line="280" w:lineRule="atLeast"/>
        <w:ind w:left="357" w:hanging="357"/>
        <w:contextualSpacing w:val="0"/>
        <w:rPr>
          <w:rFonts w:ascii="Verdana" w:hAnsi="Verdana" w:cs="Times New Roman"/>
          <w:sz w:val="20"/>
          <w:szCs w:val="20"/>
        </w:rPr>
      </w:pPr>
      <w:r w:rsidRPr="007C0D68">
        <w:rPr>
          <w:rFonts w:ascii="Verdana" w:hAnsi="Verdana" w:cs="Times New Roman"/>
          <w:sz w:val="20"/>
          <w:szCs w:val="20"/>
        </w:rPr>
        <w:t>beweglich durch Typ H1-Flagellen,</w:t>
      </w:r>
    </w:p>
    <w:p w14:paraId="2ACC3729" w14:textId="77777777" w:rsidR="00D122E9" w:rsidRPr="007C0D68" w:rsidRDefault="00D122E9" w:rsidP="00D122E9">
      <w:pPr>
        <w:pStyle w:val="Listenabsatz"/>
        <w:numPr>
          <w:ilvl w:val="0"/>
          <w:numId w:val="4"/>
        </w:numPr>
        <w:spacing w:before="120" w:after="0" w:line="280" w:lineRule="atLeast"/>
        <w:ind w:left="357" w:hanging="357"/>
        <w:contextualSpacing w:val="0"/>
        <w:rPr>
          <w:rFonts w:ascii="Verdana" w:hAnsi="Verdana" w:cs="Times New Roman"/>
          <w:sz w:val="20"/>
          <w:szCs w:val="20"/>
        </w:rPr>
      </w:pPr>
      <w:r w:rsidRPr="007C0D68">
        <w:rPr>
          <w:rFonts w:ascii="Verdana" w:hAnsi="Verdana" w:cs="Times New Roman"/>
          <w:sz w:val="20"/>
          <w:szCs w:val="20"/>
        </w:rPr>
        <w:t>siedlungsfähig durch spezifische Interaktion seiner Flagellen mit der Mucinschicht,</w:t>
      </w:r>
    </w:p>
    <w:p w14:paraId="776CDCF5" w14:textId="77777777" w:rsidR="00D122E9" w:rsidRPr="007C0D68" w:rsidRDefault="00D122E9" w:rsidP="00D122E9">
      <w:pPr>
        <w:pStyle w:val="Listenabsatz"/>
        <w:numPr>
          <w:ilvl w:val="0"/>
          <w:numId w:val="4"/>
        </w:numPr>
        <w:spacing w:before="120" w:after="0" w:line="280" w:lineRule="atLeast"/>
        <w:ind w:left="357" w:hanging="357"/>
        <w:contextualSpacing w:val="0"/>
        <w:rPr>
          <w:rFonts w:ascii="Verdana" w:hAnsi="Verdana" w:cs="Times New Roman"/>
          <w:sz w:val="20"/>
          <w:szCs w:val="20"/>
        </w:rPr>
      </w:pPr>
      <w:r w:rsidRPr="007C0D68">
        <w:rPr>
          <w:rFonts w:ascii="Verdana" w:hAnsi="Verdana" w:cs="Times New Roman"/>
          <w:sz w:val="20"/>
          <w:szCs w:val="20"/>
        </w:rPr>
        <w:t>fähig zur Biofilmbildung durch F1A-, F1C- und Curli-Fimbrien,</w:t>
      </w:r>
    </w:p>
    <w:p w14:paraId="2665A4A2" w14:textId="77777777" w:rsidR="00D122E9" w:rsidRPr="007C0D68" w:rsidRDefault="00D122E9" w:rsidP="00D122E9">
      <w:pPr>
        <w:pStyle w:val="Listenabsatz"/>
        <w:numPr>
          <w:ilvl w:val="0"/>
          <w:numId w:val="4"/>
        </w:numPr>
        <w:spacing w:before="120" w:after="0" w:line="280" w:lineRule="atLeast"/>
        <w:ind w:left="357" w:hanging="357"/>
        <w:contextualSpacing w:val="0"/>
        <w:rPr>
          <w:rFonts w:ascii="Verdana" w:hAnsi="Verdana" w:cs="Times New Roman"/>
          <w:sz w:val="20"/>
          <w:szCs w:val="20"/>
        </w:rPr>
      </w:pPr>
      <w:r w:rsidRPr="007C0D68">
        <w:rPr>
          <w:rFonts w:ascii="Verdana" w:hAnsi="Verdana" w:cs="Times New Roman"/>
          <w:sz w:val="20"/>
          <w:szCs w:val="20"/>
        </w:rPr>
        <w:t>antagonistisch aktiv gegenüber Fremdkeimen durch Bildung antimikrobiell wirksamer Mikrocine,</w:t>
      </w:r>
    </w:p>
    <w:p w14:paraId="2469979F" w14:textId="77777777" w:rsidR="00D122E9" w:rsidRPr="007C0D68" w:rsidRDefault="00D122E9" w:rsidP="00D122E9">
      <w:pPr>
        <w:pStyle w:val="Listenabsatz"/>
        <w:numPr>
          <w:ilvl w:val="0"/>
          <w:numId w:val="4"/>
        </w:numPr>
        <w:spacing w:before="120" w:after="0" w:line="280" w:lineRule="atLeast"/>
        <w:ind w:left="357" w:hanging="357"/>
        <w:contextualSpacing w:val="0"/>
        <w:rPr>
          <w:rFonts w:ascii="Verdana" w:hAnsi="Verdana" w:cs="Times New Roman"/>
          <w:sz w:val="20"/>
          <w:szCs w:val="20"/>
        </w:rPr>
      </w:pPr>
      <w:r w:rsidRPr="007C0D68">
        <w:rPr>
          <w:rFonts w:ascii="Verdana" w:hAnsi="Verdana" w:cs="Times New Roman"/>
          <w:sz w:val="20"/>
          <w:szCs w:val="20"/>
        </w:rPr>
        <w:t>vital und durchsetzungsfähig („biologische Fitness“) durch multiple Eisenaufnahmesysteme,</w:t>
      </w:r>
    </w:p>
    <w:p w14:paraId="01EA6E28" w14:textId="0A81440A" w:rsidR="00FA5571" w:rsidRDefault="00D122E9" w:rsidP="00D122E9">
      <w:pPr>
        <w:pStyle w:val="Listenabsatz"/>
        <w:numPr>
          <w:ilvl w:val="0"/>
          <w:numId w:val="4"/>
        </w:numPr>
        <w:spacing w:before="120" w:after="0" w:line="280" w:lineRule="atLeast"/>
        <w:ind w:left="357" w:hanging="357"/>
        <w:contextualSpacing w:val="0"/>
        <w:rPr>
          <w:rFonts w:ascii="Verdana" w:hAnsi="Verdana" w:cs="Times New Roman"/>
          <w:sz w:val="20"/>
          <w:szCs w:val="20"/>
        </w:rPr>
      </w:pPr>
      <w:r w:rsidRPr="007C0D68">
        <w:rPr>
          <w:rFonts w:ascii="Verdana" w:hAnsi="Verdana" w:cs="Times New Roman"/>
          <w:sz w:val="20"/>
          <w:szCs w:val="20"/>
        </w:rPr>
        <w:t xml:space="preserve">immunmodulierend durch stammspezifische Oberflächenstrukturen </w:t>
      </w:r>
      <w:r w:rsidRPr="007C0D68">
        <w:rPr>
          <w:rFonts w:ascii="Verdana" w:eastAsia="MingLiU" w:hAnsi="Verdana" w:cs="MingLiU"/>
          <w:sz w:val="20"/>
          <w:szCs w:val="20"/>
        </w:rPr>
        <w:br/>
      </w:r>
      <w:r w:rsidRPr="007C0D68">
        <w:rPr>
          <w:rFonts w:ascii="Verdana" w:hAnsi="Verdana" w:cs="Times New Roman"/>
          <w:sz w:val="20"/>
          <w:szCs w:val="20"/>
        </w:rPr>
        <w:t>(spezielles LPS) und die Bildung von Signalstoffen,</w:t>
      </w:r>
    </w:p>
    <w:p w14:paraId="1C1BEDA1" w14:textId="77777777" w:rsidR="00FA5571" w:rsidRDefault="00FA5571">
      <w:pPr>
        <w:spacing w:after="0" w:line="240" w:lineRule="auto"/>
        <w:rPr>
          <w:rFonts w:ascii="Verdana" w:hAnsi="Verdana" w:cs="Times New Roman"/>
          <w:sz w:val="20"/>
          <w:szCs w:val="20"/>
        </w:rPr>
      </w:pPr>
      <w:r>
        <w:rPr>
          <w:rFonts w:ascii="Verdana" w:hAnsi="Verdana" w:cs="Times New Roman"/>
          <w:sz w:val="20"/>
          <w:szCs w:val="20"/>
        </w:rPr>
        <w:br w:type="page"/>
      </w:r>
    </w:p>
    <w:p w14:paraId="19909B46" w14:textId="77777777" w:rsidR="00D122E9" w:rsidRPr="007C0D68" w:rsidRDefault="00D122E9" w:rsidP="00D122E9">
      <w:pPr>
        <w:pStyle w:val="Listenabsatz"/>
        <w:numPr>
          <w:ilvl w:val="0"/>
          <w:numId w:val="4"/>
        </w:numPr>
        <w:spacing w:before="120" w:after="0" w:line="280" w:lineRule="atLeast"/>
        <w:ind w:left="357" w:hanging="357"/>
        <w:contextualSpacing w:val="0"/>
        <w:rPr>
          <w:rFonts w:ascii="Verdana" w:hAnsi="Verdana" w:cs="Times New Roman"/>
          <w:sz w:val="20"/>
          <w:szCs w:val="20"/>
        </w:rPr>
      </w:pPr>
      <w:r w:rsidRPr="007C0D68">
        <w:rPr>
          <w:rFonts w:ascii="Verdana" w:hAnsi="Verdana" w:cs="Times New Roman"/>
          <w:sz w:val="20"/>
          <w:szCs w:val="20"/>
        </w:rPr>
        <w:lastRenderedPageBreak/>
        <w:t>antientzündlich wirksam durch Regulation von Zytokinen,</w:t>
      </w:r>
    </w:p>
    <w:p w14:paraId="5BA17C63" w14:textId="77777777" w:rsidR="00D122E9" w:rsidRPr="007C0D68" w:rsidRDefault="00D122E9" w:rsidP="00D122E9">
      <w:pPr>
        <w:pStyle w:val="Listenabsatz"/>
        <w:numPr>
          <w:ilvl w:val="0"/>
          <w:numId w:val="4"/>
        </w:numPr>
        <w:spacing w:before="120" w:line="280" w:lineRule="atLeast"/>
        <w:ind w:left="357" w:hanging="357"/>
        <w:contextualSpacing w:val="0"/>
        <w:rPr>
          <w:rFonts w:ascii="Verdana" w:hAnsi="Verdana" w:cs="Times New Roman"/>
          <w:sz w:val="20"/>
          <w:szCs w:val="20"/>
        </w:rPr>
      </w:pPr>
      <w:r w:rsidRPr="007C0D68">
        <w:rPr>
          <w:rFonts w:ascii="Verdana" w:hAnsi="Verdana" w:cs="Times New Roman"/>
          <w:sz w:val="20"/>
          <w:szCs w:val="20"/>
        </w:rPr>
        <w:t>und besitzt eine stabilisierende Wirkung auf die Barrierefunktion der Darmschleimhaut.</w:t>
      </w:r>
    </w:p>
    <w:p w14:paraId="5D2DB608" w14:textId="77777777" w:rsidR="00D122E9" w:rsidRPr="007C0D68" w:rsidRDefault="00D122E9" w:rsidP="00D122E9">
      <w:pPr>
        <w:spacing w:after="0" w:line="280" w:lineRule="atLeast"/>
        <w:rPr>
          <w:rFonts w:ascii="Verdana" w:hAnsi="Verdana" w:cs="Times New Roman"/>
          <w:b/>
          <w:sz w:val="20"/>
          <w:szCs w:val="20"/>
        </w:rPr>
      </w:pPr>
      <w:r w:rsidRPr="007C0D68">
        <w:rPr>
          <w:rFonts w:ascii="Verdana" w:hAnsi="Verdana" w:cs="Times New Roman"/>
          <w:b/>
          <w:sz w:val="20"/>
          <w:szCs w:val="20"/>
        </w:rPr>
        <w:t>Therapeutische Wirkung von EcN</w:t>
      </w:r>
    </w:p>
    <w:p w14:paraId="3DAD4977"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Aus den verschiedenen phänotypischen und genetischen Charakteristika des Bakteriums ergibt sich eine ganze Reihe der Darmgesundheit förderlicher Wirkmechanismen und Effekte (Tab. 1 und Abb. 2). Sie greifen ineinander und machen die besondere Eignung von EcN als Probiotikum aus.</w:t>
      </w:r>
    </w:p>
    <w:p w14:paraId="3BE83E09"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b/>
          <w:sz w:val="20"/>
          <w:szCs w:val="20"/>
        </w:rPr>
        <w:t xml:space="preserve">Tab. 1 </w:t>
      </w:r>
      <w:r w:rsidRPr="007C0D68">
        <w:rPr>
          <w:rFonts w:ascii="Verdana" w:hAnsi="Verdana" w:cs="Times New Roman"/>
          <w:sz w:val="20"/>
          <w:szCs w:val="20"/>
        </w:rPr>
        <w:t>Mutaflor</w:t>
      </w:r>
      <w:r w:rsidRPr="007C0D68">
        <w:rPr>
          <w:rFonts w:ascii="Verdana" w:hAnsi="Verdana" w:cs="Times New Roman"/>
          <w:bCs/>
          <w:sz w:val="20"/>
          <w:szCs w:val="20"/>
          <w:vertAlign w:val="superscript"/>
        </w:rPr>
        <w:t>®</w:t>
      </w:r>
      <w:r w:rsidRPr="007C0D68">
        <w:rPr>
          <w:rFonts w:ascii="Verdana" w:hAnsi="Verdana" w:cs="Times New Roman"/>
          <w:sz w:val="20"/>
          <w:szCs w:val="20"/>
        </w:rPr>
        <w:t>-Charakteristika und therapeutische Wirkung</w:t>
      </w:r>
    </w:p>
    <w:tbl>
      <w:tblPr>
        <w:tblStyle w:val="Tabellenraster"/>
        <w:tblW w:w="7946" w:type="dxa"/>
        <w:tblInd w:w="107" w:type="dxa"/>
        <w:tblLook w:val="04A0" w:firstRow="1" w:lastRow="0" w:firstColumn="1" w:lastColumn="0" w:noHBand="0" w:noVBand="1"/>
      </w:tblPr>
      <w:tblGrid>
        <w:gridCol w:w="4119"/>
        <w:gridCol w:w="3827"/>
      </w:tblGrid>
      <w:tr w:rsidR="00D122E9" w:rsidRPr="007C0D68" w14:paraId="63DFFAEB" w14:textId="77777777" w:rsidTr="00CF1A7E">
        <w:tc>
          <w:tcPr>
            <w:tcW w:w="4119" w:type="dxa"/>
          </w:tcPr>
          <w:p w14:paraId="57A0B702" w14:textId="77777777" w:rsidR="00D122E9" w:rsidRPr="007C0D68" w:rsidRDefault="00D122E9" w:rsidP="00CF1A7E">
            <w:pPr>
              <w:spacing w:line="280" w:lineRule="atLeast"/>
              <w:rPr>
                <w:rFonts w:ascii="Verdana" w:hAnsi="Verdana" w:cs="Times New Roman"/>
                <w:b/>
                <w:sz w:val="20"/>
                <w:szCs w:val="20"/>
              </w:rPr>
            </w:pPr>
            <w:r w:rsidRPr="007C0D68">
              <w:rPr>
                <w:rFonts w:ascii="Verdana" w:hAnsi="Verdana" w:cs="Times New Roman"/>
                <w:b/>
                <w:sz w:val="20"/>
                <w:szCs w:val="20"/>
              </w:rPr>
              <w:t>Charakteristika</w:t>
            </w:r>
          </w:p>
        </w:tc>
        <w:tc>
          <w:tcPr>
            <w:tcW w:w="3827" w:type="dxa"/>
          </w:tcPr>
          <w:p w14:paraId="4B99BC77" w14:textId="77777777" w:rsidR="00D122E9" w:rsidRPr="007C0D68" w:rsidRDefault="00D122E9" w:rsidP="00CF1A7E">
            <w:pPr>
              <w:spacing w:line="280" w:lineRule="atLeast"/>
              <w:rPr>
                <w:rFonts w:ascii="Verdana" w:hAnsi="Verdana" w:cs="Times New Roman"/>
                <w:b/>
                <w:sz w:val="20"/>
                <w:szCs w:val="20"/>
              </w:rPr>
            </w:pPr>
            <w:r w:rsidRPr="007C0D68">
              <w:rPr>
                <w:rFonts w:ascii="Verdana" w:hAnsi="Verdana" w:cs="Times New Roman"/>
                <w:b/>
                <w:sz w:val="20"/>
                <w:szCs w:val="20"/>
              </w:rPr>
              <w:t>Therapeutische Effekte</w:t>
            </w:r>
          </w:p>
        </w:tc>
      </w:tr>
      <w:tr w:rsidR="00D122E9" w:rsidRPr="007C0D68" w14:paraId="06F0928D" w14:textId="77777777" w:rsidTr="00CF1A7E">
        <w:tc>
          <w:tcPr>
            <w:tcW w:w="4119" w:type="dxa"/>
          </w:tcPr>
          <w:p w14:paraId="22A9F379"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Bildung kurzkettiger Karbonsäuren, z. B. Acetat</w:t>
            </w:r>
          </w:p>
        </w:tc>
        <w:tc>
          <w:tcPr>
            <w:tcW w:w="3827" w:type="dxa"/>
          </w:tcPr>
          <w:p w14:paraId="6CEE2439"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wirkt positiv auf die Darmmuskulatur</w:t>
            </w:r>
            <w:r w:rsidRPr="007C0D68">
              <w:rPr>
                <w:rFonts w:ascii="Verdana" w:hAnsi="Verdana" w:cs="Times New Roman"/>
                <w:sz w:val="20"/>
                <w:szCs w:val="20"/>
                <w:vertAlign w:val="superscript"/>
              </w:rPr>
              <w:t>1, 2</w:t>
            </w:r>
          </w:p>
        </w:tc>
      </w:tr>
      <w:tr w:rsidR="00D122E9" w:rsidRPr="007C0D68" w14:paraId="176E807B" w14:textId="77777777" w:rsidTr="00CF1A7E">
        <w:tc>
          <w:tcPr>
            <w:tcW w:w="4119" w:type="dxa"/>
          </w:tcPr>
          <w:p w14:paraId="5632D7CE"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Biofilm-Bildung</w:t>
            </w:r>
            <w:r w:rsidRPr="007C0D68">
              <w:rPr>
                <w:rFonts w:ascii="Verdana" w:hAnsi="Verdana" w:cs="Times New Roman"/>
                <w:sz w:val="20"/>
                <w:szCs w:val="20"/>
              </w:rPr>
              <w:br/>
            </w:r>
            <w:proofErr w:type="spellStart"/>
            <w:r w:rsidRPr="007C0D68">
              <w:rPr>
                <w:rFonts w:ascii="Verdana" w:hAnsi="Verdana" w:cs="Times New Roman"/>
                <w:sz w:val="20"/>
                <w:szCs w:val="20"/>
              </w:rPr>
              <w:t>Mucin</w:t>
            </w:r>
            <w:proofErr w:type="spellEnd"/>
            <w:r w:rsidRPr="007C0D68">
              <w:rPr>
                <w:rFonts w:ascii="Verdana" w:hAnsi="Verdana" w:cs="Times New Roman"/>
                <w:sz w:val="20"/>
                <w:szCs w:val="20"/>
              </w:rPr>
              <w:t>-Produktion</w:t>
            </w:r>
            <w:r w:rsidRPr="007C0D68">
              <w:rPr>
                <w:rFonts w:ascii="Verdana" w:hAnsi="Verdana" w:cs="Times New Roman"/>
                <w:sz w:val="20"/>
                <w:szCs w:val="20"/>
              </w:rPr>
              <w:br/>
              <w:t>Tight Junction-Stärkung</w:t>
            </w:r>
          </w:p>
        </w:tc>
        <w:tc>
          <w:tcPr>
            <w:tcW w:w="3827" w:type="dxa"/>
          </w:tcPr>
          <w:p w14:paraId="778DD698"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stabilisiert die Darmbarriere</w:t>
            </w:r>
            <w:r w:rsidRPr="007C0D68">
              <w:rPr>
                <w:rFonts w:ascii="Verdana" w:hAnsi="Verdana" w:cs="Times New Roman"/>
                <w:sz w:val="20"/>
                <w:szCs w:val="20"/>
                <w:vertAlign w:val="superscript"/>
              </w:rPr>
              <w:t>3, 4</w:t>
            </w:r>
          </w:p>
        </w:tc>
      </w:tr>
      <w:tr w:rsidR="00D122E9" w:rsidRPr="007C0D68" w14:paraId="402FF338" w14:textId="77777777" w:rsidTr="00CF1A7E">
        <w:tc>
          <w:tcPr>
            <w:tcW w:w="4119" w:type="dxa"/>
          </w:tcPr>
          <w:p w14:paraId="05439A85"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 xml:space="preserve">Hemmung/Abtötung pathogener Bakterien und Pilze, z. B. Salmonella, EIEC, AIEC, Shigella, </w:t>
            </w:r>
            <w:proofErr w:type="spellStart"/>
            <w:r w:rsidRPr="007C0D68">
              <w:rPr>
                <w:rFonts w:ascii="Verdana" w:hAnsi="Verdana" w:cs="Times New Roman"/>
                <w:sz w:val="20"/>
                <w:szCs w:val="20"/>
              </w:rPr>
              <w:t>Yersinia</w:t>
            </w:r>
            <w:proofErr w:type="spellEnd"/>
            <w:r w:rsidRPr="007C0D68">
              <w:rPr>
                <w:rFonts w:ascii="Verdana" w:hAnsi="Verdana" w:cs="Times New Roman"/>
                <w:sz w:val="20"/>
                <w:szCs w:val="20"/>
              </w:rPr>
              <w:t>, Listeria, Candida</w:t>
            </w:r>
          </w:p>
        </w:tc>
        <w:tc>
          <w:tcPr>
            <w:tcW w:w="3827" w:type="dxa"/>
          </w:tcPr>
          <w:p w14:paraId="0D8B9DC3"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reguliert die Darmflora</w:t>
            </w:r>
            <w:r w:rsidRPr="007C0D68">
              <w:rPr>
                <w:rFonts w:ascii="Verdana" w:hAnsi="Verdana" w:cs="Times New Roman"/>
                <w:sz w:val="20"/>
                <w:szCs w:val="20"/>
                <w:vertAlign w:val="superscript"/>
              </w:rPr>
              <w:t>5–7</w:t>
            </w:r>
          </w:p>
        </w:tc>
      </w:tr>
      <w:tr w:rsidR="00D122E9" w:rsidRPr="007C0D68" w14:paraId="302E8882" w14:textId="77777777" w:rsidTr="00CF1A7E">
        <w:tc>
          <w:tcPr>
            <w:tcW w:w="4119" w:type="dxa"/>
          </w:tcPr>
          <w:p w14:paraId="0A9279B9"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Verbesserung der zellulären und humoralen Immunabwehr Neugeborener</w:t>
            </w:r>
          </w:p>
        </w:tc>
        <w:tc>
          <w:tcPr>
            <w:tcW w:w="3827" w:type="dxa"/>
          </w:tcPr>
          <w:p w14:paraId="30546189"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stärkt das Immunsystem</w:t>
            </w:r>
            <w:r w:rsidRPr="007C0D68">
              <w:rPr>
                <w:rFonts w:ascii="Verdana" w:hAnsi="Verdana" w:cs="Times New Roman"/>
                <w:sz w:val="20"/>
                <w:szCs w:val="20"/>
                <w:vertAlign w:val="superscript"/>
              </w:rPr>
              <w:t>8, 9</w:t>
            </w:r>
          </w:p>
        </w:tc>
      </w:tr>
      <w:tr w:rsidR="00D122E9" w:rsidRPr="007C0D68" w14:paraId="70A3C8D4" w14:textId="77777777" w:rsidTr="00CF1A7E">
        <w:tc>
          <w:tcPr>
            <w:tcW w:w="4119" w:type="dxa"/>
          </w:tcPr>
          <w:p w14:paraId="04379E80"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 xml:space="preserve">Hemmung von IL-5, IL-6, IFN-γ und TNFα-Wirkung auf IL-8 IL-10-Induktion </w:t>
            </w:r>
            <w:r w:rsidRPr="007C0D68">
              <w:rPr>
                <w:rFonts w:ascii="Verdana" w:hAnsi="Verdana" w:cs="Times New Roman"/>
                <w:sz w:val="20"/>
                <w:szCs w:val="20"/>
              </w:rPr>
              <w:br/>
              <w:t>Defensin-, Calprotectin-Induktion</w:t>
            </w:r>
          </w:p>
        </w:tc>
        <w:tc>
          <w:tcPr>
            <w:tcW w:w="3827" w:type="dxa"/>
          </w:tcPr>
          <w:p w14:paraId="64C83B9C" w14:textId="77777777" w:rsidR="00D122E9" w:rsidRPr="007C0D68" w:rsidRDefault="00D122E9" w:rsidP="00CF1A7E">
            <w:pPr>
              <w:spacing w:line="280" w:lineRule="atLeast"/>
              <w:rPr>
                <w:rFonts w:ascii="Verdana" w:hAnsi="Verdana" w:cs="Times New Roman"/>
                <w:sz w:val="20"/>
                <w:szCs w:val="20"/>
              </w:rPr>
            </w:pPr>
            <w:r w:rsidRPr="007C0D68">
              <w:rPr>
                <w:rFonts w:ascii="Verdana" w:hAnsi="Verdana" w:cs="Times New Roman"/>
                <w:sz w:val="20"/>
                <w:szCs w:val="20"/>
              </w:rPr>
              <w:t>wirkt bei Darmentzündungen</w:t>
            </w:r>
            <w:r w:rsidRPr="007C0D68">
              <w:rPr>
                <w:rFonts w:ascii="Verdana" w:hAnsi="Verdana" w:cs="Times New Roman"/>
                <w:sz w:val="20"/>
                <w:szCs w:val="20"/>
                <w:vertAlign w:val="superscript"/>
              </w:rPr>
              <w:t>10–12</w:t>
            </w:r>
          </w:p>
        </w:tc>
      </w:tr>
    </w:tbl>
    <w:p w14:paraId="565C6234" w14:textId="77777777" w:rsidR="00D122E9" w:rsidRPr="007C0D68" w:rsidRDefault="00D122E9" w:rsidP="00D122E9">
      <w:pPr>
        <w:spacing w:line="280" w:lineRule="atLeast"/>
        <w:rPr>
          <w:rFonts w:ascii="Verdana" w:hAnsi="Verdana" w:cs="Times New Roman"/>
          <w:b/>
          <w:sz w:val="20"/>
          <w:szCs w:val="20"/>
        </w:rPr>
      </w:pPr>
    </w:p>
    <w:p w14:paraId="31304207" w14:textId="45D9334F" w:rsidR="00D122E9" w:rsidRPr="007C0D68" w:rsidRDefault="00D122E9" w:rsidP="00D122E9">
      <w:pPr>
        <w:spacing w:after="0" w:line="280" w:lineRule="atLeast"/>
        <w:rPr>
          <w:rFonts w:ascii="Verdana" w:hAnsi="Verdana" w:cs="Times New Roman"/>
          <w:b/>
          <w:sz w:val="20"/>
          <w:szCs w:val="20"/>
        </w:rPr>
      </w:pPr>
      <w:r w:rsidRPr="007C0D68">
        <w:rPr>
          <w:rFonts w:ascii="Verdana" w:hAnsi="Verdana" w:cs="Times New Roman"/>
          <w:b/>
          <w:sz w:val="20"/>
          <w:szCs w:val="20"/>
        </w:rPr>
        <w:t xml:space="preserve">Nutritive Unterstützung der </w:t>
      </w:r>
      <w:proofErr w:type="spellStart"/>
      <w:r w:rsidRPr="007C0D68">
        <w:rPr>
          <w:rFonts w:ascii="Verdana" w:hAnsi="Verdana" w:cs="Times New Roman"/>
          <w:b/>
          <w:sz w:val="20"/>
          <w:szCs w:val="20"/>
        </w:rPr>
        <w:t>Darmmu</w:t>
      </w:r>
      <w:r w:rsidR="00A44FD4" w:rsidRPr="007C0D68">
        <w:rPr>
          <w:rFonts w:ascii="Verdana" w:hAnsi="Verdana" w:cs="Times New Roman"/>
          <w:b/>
          <w:sz w:val="20"/>
          <w:szCs w:val="20"/>
        </w:rPr>
        <w:t>kosa</w:t>
      </w:r>
      <w:proofErr w:type="spellEnd"/>
    </w:p>
    <w:p w14:paraId="2361D7EB" w14:textId="2EEB9E83"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 xml:space="preserve">EcN bildet in erhöhtem Maße kurzkettige Fettsäuren aus Ballaststoffen (überwiegend Essigsäure, aber auch Ameisen-, Propion- und Buttersäure). Diese kurzkettigen Fettsäuren </w:t>
      </w:r>
      <w:r w:rsidR="007C1F8B" w:rsidRPr="007C0D68">
        <w:rPr>
          <w:rFonts w:ascii="Verdana" w:hAnsi="Verdana" w:cs="Times New Roman"/>
          <w:sz w:val="20"/>
          <w:szCs w:val="20"/>
        </w:rPr>
        <w:t xml:space="preserve">fördern die Durchblutung der Schleimhaut und </w:t>
      </w:r>
      <w:r w:rsidRPr="007C0D68">
        <w:rPr>
          <w:rFonts w:ascii="Verdana" w:hAnsi="Verdana" w:cs="Times New Roman"/>
          <w:sz w:val="20"/>
          <w:szCs w:val="20"/>
        </w:rPr>
        <w:t>regen die Ringmuskulatur des Dickdarms an, was die Darmmotilität stimuliert.</w:t>
      </w:r>
      <w:r w:rsidRPr="007C0D68">
        <w:rPr>
          <w:rFonts w:ascii="Verdana" w:hAnsi="Verdana" w:cs="Times New Roman"/>
          <w:sz w:val="20"/>
          <w:szCs w:val="20"/>
          <w:vertAlign w:val="superscript"/>
        </w:rPr>
        <w:t>1</w:t>
      </w:r>
      <w:r w:rsidRPr="007C0D68">
        <w:rPr>
          <w:rFonts w:ascii="Verdana" w:hAnsi="Verdana" w:cs="Times New Roman"/>
          <w:sz w:val="20"/>
          <w:szCs w:val="20"/>
        </w:rPr>
        <w:t xml:space="preserve"> Die Wirksamkeit von EcN u. a. bei chronischer Obstipation scheint darauf zu beruhen. Darüber hinaus sind die bakteriellen Abbauprodukte, insbesondere die Buttersäure, sehr energiereich und für den Stoffwechsel der Dickdarmschleimhaut unentbehrlich.</w:t>
      </w:r>
    </w:p>
    <w:p w14:paraId="752EAA58" w14:textId="77777777" w:rsidR="00FA5571" w:rsidRDefault="00FA5571">
      <w:pPr>
        <w:spacing w:after="0" w:line="240" w:lineRule="auto"/>
        <w:rPr>
          <w:rFonts w:ascii="Verdana" w:hAnsi="Verdana" w:cs="Times New Roman"/>
          <w:b/>
          <w:sz w:val="20"/>
          <w:szCs w:val="20"/>
        </w:rPr>
      </w:pPr>
      <w:r>
        <w:rPr>
          <w:rFonts w:ascii="Verdana" w:hAnsi="Verdana" w:cs="Times New Roman"/>
          <w:b/>
          <w:sz w:val="20"/>
          <w:szCs w:val="20"/>
        </w:rPr>
        <w:br w:type="page"/>
      </w:r>
    </w:p>
    <w:p w14:paraId="7BA50FE2" w14:textId="76780397" w:rsidR="00D122E9" w:rsidRPr="007C0D68" w:rsidRDefault="00D122E9" w:rsidP="00D122E9">
      <w:pPr>
        <w:spacing w:after="0" w:line="280" w:lineRule="atLeast"/>
        <w:rPr>
          <w:rFonts w:ascii="Verdana" w:hAnsi="Verdana" w:cs="Times New Roman"/>
          <w:b/>
          <w:sz w:val="20"/>
          <w:szCs w:val="20"/>
        </w:rPr>
      </w:pPr>
      <w:r w:rsidRPr="007C0D68">
        <w:rPr>
          <w:rFonts w:ascii="Verdana" w:hAnsi="Verdana" w:cs="Times New Roman"/>
          <w:b/>
          <w:sz w:val="20"/>
          <w:szCs w:val="20"/>
        </w:rPr>
        <w:lastRenderedPageBreak/>
        <w:t>Antagonismus, Besiedlung und Stabilisierung der Darmbarriere</w:t>
      </w:r>
    </w:p>
    <w:p w14:paraId="065F562E"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Eine Schädigung der Darmbarriere mit erhöhter Permeabilität (Leaky Gut) kann sowohl Ursache als auch Folge von bakteriellen oder parasitären Infektionen sein. Weitere Ursachen für eine erhöhte Darmpermeabilität sind häufig Antibiotika, ASS, Alkohol und Koffein. EcN wirkt schützend und unterstützt die Wiederherstellung der Barrierefunktion (Abb. 3).</w:t>
      </w:r>
    </w:p>
    <w:p w14:paraId="1279C69B"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Durch seine Flagellen und Fimbrien kann sich EcN effektiv an der menschlichen Darmschleimhaut anlagern</w:t>
      </w:r>
      <w:r w:rsidRPr="007C0D68">
        <w:rPr>
          <w:rFonts w:ascii="Verdana" w:hAnsi="Verdana" w:cs="Times New Roman"/>
          <w:sz w:val="20"/>
          <w:szCs w:val="20"/>
          <w:vertAlign w:val="superscript"/>
        </w:rPr>
        <w:t xml:space="preserve"> </w:t>
      </w:r>
      <w:r w:rsidRPr="007C0D68">
        <w:rPr>
          <w:rFonts w:ascii="Verdana" w:hAnsi="Verdana" w:cs="Times New Roman"/>
          <w:sz w:val="20"/>
          <w:szCs w:val="20"/>
        </w:rPr>
        <w:t>und dort einen stabilen Biofilm ausbilden.</w:t>
      </w:r>
      <w:r w:rsidRPr="007C0D68">
        <w:rPr>
          <w:rFonts w:ascii="Verdana" w:hAnsi="Verdana" w:cs="Times New Roman"/>
          <w:sz w:val="20"/>
          <w:szCs w:val="20"/>
          <w:vertAlign w:val="superscript"/>
        </w:rPr>
        <w:t>13</w:t>
      </w:r>
      <w:r w:rsidRPr="007C0D68">
        <w:rPr>
          <w:rFonts w:ascii="Verdana" w:hAnsi="Verdana" w:cs="Times New Roman"/>
          <w:sz w:val="20"/>
          <w:szCs w:val="20"/>
        </w:rPr>
        <w:t xml:space="preserve"> Pathogene können sich kaum noch anheften und werden zudem durch sezernierte Mikrocine angegriffen.</w:t>
      </w:r>
      <w:r w:rsidRPr="007C0D68">
        <w:rPr>
          <w:rFonts w:ascii="Verdana" w:hAnsi="Verdana" w:cs="Times New Roman"/>
          <w:sz w:val="20"/>
          <w:szCs w:val="20"/>
          <w:vertAlign w:val="superscript"/>
        </w:rPr>
        <w:t>14</w:t>
      </w:r>
      <w:r w:rsidRPr="007C0D68">
        <w:rPr>
          <w:rFonts w:ascii="Verdana" w:hAnsi="Verdana" w:cs="Times New Roman"/>
          <w:sz w:val="20"/>
          <w:szCs w:val="20"/>
        </w:rPr>
        <w:t xml:space="preserve"> EcN wirkt somit antagonistisch gegen pathogene Mikroorganismen.</w:t>
      </w:r>
      <w:r w:rsidRPr="007C0D68">
        <w:rPr>
          <w:rFonts w:ascii="Verdana" w:hAnsi="Verdana" w:cs="Times New Roman"/>
          <w:sz w:val="20"/>
          <w:szCs w:val="20"/>
          <w:vertAlign w:val="superscript"/>
        </w:rPr>
        <w:t>15–18</w:t>
      </w:r>
      <w:r w:rsidRPr="007C0D68">
        <w:rPr>
          <w:rFonts w:ascii="Verdana" w:hAnsi="Verdana" w:cs="Times New Roman"/>
          <w:sz w:val="20"/>
          <w:szCs w:val="20"/>
        </w:rPr>
        <w:t xml:space="preserve"> Das Bakterium schützt beispielsweise vor darmpathogenen Keimen wie EHEC</w:t>
      </w:r>
      <w:r w:rsidRPr="007C0D68">
        <w:rPr>
          <w:rFonts w:ascii="Verdana" w:hAnsi="Verdana" w:cs="Times New Roman"/>
          <w:sz w:val="20"/>
          <w:szCs w:val="20"/>
          <w:vertAlign w:val="superscript"/>
        </w:rPr>
        <w:t>19–21</w:t>
      </w:r>
      <w:r w:rsidRPr="007C0D68">
        <w:rPr>
          <w:rFonts w:ascii="Verdana" w:hAnsi="Verdana" w:cs="Times New Roman"/>
          <w:sz w:val="20"/>
          <w:szCs w:val="20"/>
        </w:rPr>
        <w:t xml:space="preserve"> und vor den möglichen Folgen einer vorausgegangenen Darminfektion (postinfektiöses Reizdarm-Syndrom).</w:t>
      </w:r>
      <w:r w:rsidRPr="007C0D68">
        <w:rPr>
          <w:rFonts w:ascii="Verdana" w:hAnsi="Verdana" w:cs="Times New Roman"/>
          <w:sz w:val="20"/>
          <w:szCs w:val="20"/>
          <w:vertAlign w:val="superscript"/>
        </w:rPr>
        <w:t>22</w:t>
      </w:r>
      <w:r w:rsidRPr="007C0D68">
        <w:rPr>
          <w:rFonts w:ascii="Verdana" w:hAnsi="Verdana" w:cs="Times New Roman"/>
          <w:sz w:val="20"/>
          <w:szCs w:val="20"/>
        </w:rPr>
        <w:t xml:space="preserve"> Durch eine Förderung der </w:t>
      </w:r>
      <w:proofErr w:type="spellStart"/>
      <w:r w:rsidRPr="007C0D68">
        <w:rPr>
          <w:rFonts w:ascii="Verdana" w:hAnsi="Verdana" w:cs="Times New Roman"/>
          <w:sz w:val="20"/>
          <w:szCs w:val="20"/>
        </w:rPr>
        <w:t>Mucin</w:t>
      </w:r>
      <w:proofErr w:type="spellEnd"/>
      <w:r w:rsidRPr="007C0D68">
        <w:rPr>
          <w:rFonts w:ascii="Verdana" w:hAnsi="Verdana" w:cs="Times New Roman"/>
          <w:sz w:val="20"/>
          <w:szCs w:val="20"/>
        </w:rPr>
        <w:t>-Produktion wird die Undurchlässigkeit gegenüber Pathogenen und Allergenen zusätzlich gestärkt.</w:t>
      </w:r>
    </w:p>
    <w:p w14:paraId="64C4DC02"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Darüber hinaus ist EcN in der Lage, die für den Zusammenhalt des Darmepithelzellverbands verantwortlichen Tight Junctions zu festigen – etwa nach Schädigung durch invasive Erreger. Gegenüber enteropathogenen E. coli-Bakterien entfaltet EcN somit sowohl eine kurative als auch eine prophylaktische Wirkung.</w:t>
      </w:r>
      <w:r w:rsidRPr="007C0D68">
        <w:rPr>
          <w:rFonts w:ascii="Verdana" w:hAnsi="Verdana" w:cs="Times New Roman"/>
          <w:sz w:val="20"/>
          <w:szCs w:val="20"/>
          <w:vertAlign w:val="superscript"/>
        </w:rPr>
        <w:t xml:space="preserve">4 </w:t>
      </w:r>
      <w:proofErr w:type="spellStart"/>
      <w:r w:rsidRPr="007C0D68">
        <w:rPr>
          <w:rFonts w:ascii="Verdana" w:hAnsi="Verdana" w:cs="Times New Roman"/>
          <w:sz w:val="20"/>
          <w:szCs w:val="20"/>
        </w:rPr>
        <w:t>Zustande</w:t>
      </w:r>
      <w:proofErr w:type="spellEnd"/>
      <w:r w:rsidRPr="007C0D68">
        <w:rPr>
          <w:rFonts w:ascii="Verdana" w:hAnsi="Verdana" w:cs="Times New Roman"/>
          <w:sz w:val="20"/>
          <w:szCs w:val="20"/>
        </w:rPr>
        <w:t xml:space="preserve"> kommt dies durch eine gesteigerte Expression der Tight Junction-Proteine Zonula occludens 1 und 2 und des Desmosomenproteins Pinin.</w:t>
      </w:r>
      <w:r w:rsidRPr="007C0D68">
        <w:rPr>
          <w:rFonts w:ascii="Verdana" w:hAnsi="Verdana" w:cs="Times New Roman"/>
          <w:sz w:val="20"/>
          <w:szCs w:val="20"/>
          <w:vertAlign w:val="superscript"/>
        </w:rPr>
        <w:t>3, 4, 23</w:t>
      </w:r>
      <w:r w:rsidRPr="007C0D68">
        <w:rPr>
          <w:rFonts w:ascii="Verdana" w:hAnsi="Verdana" w:cs="Times New Roman"/>
          <w:sz w:val="20"/>
          <w:szCs w:val="20"/>
        </w:rPr>
        <w:t xml:space="preserve"> Insgesamt führt der Kontakt der Epithelzellen mit EcN zu einer gesteigerten oder verringerten Expression von über 300 Genen.</w:t>
      </w:r>
      <w:r w:rsidRPr="007C0D68">
        <w:rPr>
          <w:rFonts w:ascii="Verdana" w:hAnsi="Verdana" w:cs="Times New Roman"/>
          <w:sz w:val="20"/>
          <w:szCs w:val="20"/>
          <w:vertAlign w:val="superscript"/>
        </w:rPr>
        <w:t>23</w:t>
      </w:r>
      <w:r w:rsidRPr="007C0D68">
        <w:rPr>
          <w:rFonts w:ascii="Verdana" w:hAnsi="Verdana" w:cs="Times New Roman"/>
          <w:sz w:val="20"/>
          <w:szCs w:val="20"/>
        </w:rPr>
        <w:t xml:space="preserve"> EcN stellt daher einen möglichen vielversprechenden Ansatz bei verschiedenen gastroenterologischen, hepatologischen, aber auch allergologisch-immunologischen Erkrankungen dar, die mit einer erhöhten Durchlässigkeit der Darmschleimhaut einhergehen.</w:t>
      </w:r>
    </w:p>
    <w:p w14:paraId="6F391F4D" w14:textId="77777777" w:rsidR="00D122E9" w:rsidRPr="007C0D68" w:rsidRDefault="00D122E9" w:rsidP="00D122E9">
      <w:pPr>
        <w:spacing w:after="0" w:line="280" w:lineRule="atLeast"/>
        <w:rPr>
          <w:rFonts w:ascii="Verdana" w:hAnsi="Verdana" w:cs="Times New Roman"/>
          <w:b/>
          <w:sz w:val="20"/>
          <w:szCs w:val="20"/>
        </w:rPr>
      </w:pPr>
      <w:r w:rsidRPr="007C0D68">
        <w:rPr>
          <w:rFonts w:ascii="Verdana" w:hAnsi="Verdana" w:cs="Times New Roman"/>
          <w:b/>
          <w:sz w:val="20"/>
          <w:szCs w:val="20"/>
        </w:rPr>
        <w:t>Entzündungshemmung und Stärkung der Immunabwehr</w:t>
      </w:r>
    </w:p>
    <w:p w14:paraId="7D72C05C"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EcN hemmt die Bildung und Freisetzung proinflammatorischer Zytokine wie IL-5, IL-6, IFN-γ im Darmepithel. Auch die TNFα-Wirkung auf die Induktion von IL-8 und IL-10 wird verringert.</w:t>
      </w:r>
      <w:r w:rsidRPr="007C0D68">
        <w:rPr>
          <w:rFonts w:ascii="Verdana" w:hAnsi="Verdana" w:cs="Times New Roman"/>
          <w:sz w:val="20"/>
          <w:szCs w:val="20"/>
          <w:vertAlign w:val="superscript"/>
        </w:rPr>
        <w:t>24</w:t>
      </w:r>
      <w:r w:rsidRPr="007C0D68">
        <w:rPr>
          <w:rFonts w:ascii="Verdana" w:hAnsi="Verdana" w:cs="Times New Roman"/>
          <w:sz w:val="20"/>
          <w:szCs w:val="20"/>
        </w:rPr>
        <w:t xml:space="preserve"> Daraus resultiert eine Schutzwirkung gegenüber einer Fehlregulierung von Lymphozyten, von inflammatorischen Prozessen und dem damit verbundenen Auftreten bzw. der Aufrechterhaltung atopischer Erkrankungen.</w:t>
      </w:r>
    </w:p>
    <w:p w14:paraId="364A7F23"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Zudem stärkt EcN die unspezifische Immunabwehr durch Hochregulation der Defensin-Bildung im Darmepithel.</w:t>
      </w:r>
      <w:r w:rsidRPr="007C0D68">
        <w:rPr>
          <w:rFonts w:ascii="Verdana" w:hAnsi="Verdana" w:cs="Times New Roman"/>
          <w:sz w:val="20"/>
          <w:szCs w:val="20"/>
          <w:vertAlign w:val="superscript"/>
        </w:rPr>
        <w:t>12</w:t>
      </w:r>
      <w:r w:rsidRPr="007C0D68">
        <w:rPr>
          <w:rFonts w:ascii="Verdana" w:hAnsi="Verdana" w:cs="Times New Roman"/>
          <w:sz w:val="20"/>
          <w:szCs w:val="20"/>
        </w:rPr>
        <w:t xml:space="preserve"> So induziert etwa das Geißel-Strukturprotein Flagellin die Bildung von humanem Beta-Defensin-2 (HBD-2).</w:t>
      </w:r>
      <w:r w:rsidRPr="007C0D68">
        <w:rPr>
          <w:rFonts w:ascii="Verdana" w:hAnsi="Verdana" w:cs="Times New Roman"/>
          <w:sz w:val="20"/>
          <w:szCs w:val="20"/>
          <w:vertAlign w:val="superscript"/>
        </w:rPr>
        <w:t>25</w:t>
      </w:r>
      <w:r w:rsidRPr="007C0D68">
        <w:rPr>
          <w:rFonts w:ascii="Verdana" w:hAnsi="Verdana" w:cs="Times New Roman"/>
          <w:sz w:val="20"/>
          <w:szCs w:val="20"/>
        </w:rPr>
        <w:t xml:space="preserve"> Die antimikrobiell wirksamen Peptide schützen als Bestandteil des unspezifischen Immunsystems vor einer Vielzahl pathogener Keime. Besonders relevant ist die Defensin-Regulation bei gastroenterologischen Erkrankungen, wie chronisch entzündlichen Darmerkrankungen, bei denen die Synthese antimikrobieller Peptide durch die Darmschleimhaut nicht mehr ausreichend funktioniert.</w:t>
      </w:r>
    </w:p>
    <w:p w14:paraId="1F4171BD" w14:textId="77777777" w:rsidR="00FA5571" w:rsidRDefault="00FA5571">
      <w:pPr>
        <w:spacing w:after="0" w:line="240" w:lineRule="auto"/>
        <w:rPr>
          <w:rFonts w:ascii="Verdana" w:hAnsi="Verdana" w:cs="Times New Roman"/>
          <w:b/>
          <w:bCs/>
          <w:sz w:val="20"/>
          <w:szCs w:val="20"/>
        </w:rPr>
      </w:pPr>
      <w:r>
        <w:rPr>
          <w:rFonts w:ascii="Verdana" w:hAnsi="Verdana" w:cs="Times New Roman"/>
          <w:b/>
          <w:bCs/>
          <w:sz w:val="20"/>
          <w:szCs w:val="20"/>
        </w:rPr>
        <w:br w:type="page"/>
      </w:r>
    </w:p>
    <w:p w14:paraId="62FC22FA" w14:textId="1A49E0CA" w:rsidR="00D122E9" w:rsidRPr="007C0D68" w:rsidRDefault="00D122E9" w:rsidP="00D122E9">
      <w:pPr>
        <w:spacing w:after="0" w:line="280" w:lineRule="atLeast"/>
        <w:rPr>
          <w:rFonts w:ascii="Verdana" w:hAnsi="Verdana" w:cs="Times New Roman"/>
          <w:b/>
          <w:bCs/>
          <w:sz w:val="20"/>
          <w:szCs w:val="20"/>
        </w:rPr>
      </w:pPr>
      <w:bookmarkStart w:id="0" w:name="_GoBack"/>
      <w:bookmarkEnd w:id="0"/>
      <w:r w:rsidRPr="007C0D68">
        <w:rPr>
          <w:rFonts w:ascii="Verdana" w:hAnsi="Verdana" w:cs="Times New Roman"/>
          <w:b/>
          <w:bCs/>
          <w:sz w:val="20"/>
          <w:szCs w:val="20"/>
        </w:rPr>
        <w:lastRenderedPageBreak/>
        <w:t>Hohe Sicherheit und Verträglichkeit</w:t>
      </w:r>
    </w:p>
    <w:p w14:paraId="7DD6B2AC"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EcN (Mutaflor</w:t>
      </w:r>
      <w:r w:rsidRPr="007C0D68">
        <w:rPr>
          <w:rFonts w:ascii="Verdana" w:hAnsi="Verdana" w:cs="Times New Roman"/>
          <w:bCs/>
          <w:sz w:val="20"/>
          <w:szCs w:val="20"/>
          <w:vertAlign w:val="superscript"/>
        </w:rPr>
        <w:t>®</w:t>
      </w:r>
      <w:r w:rsidRPr="007C0D68">
        <w:rPr>
          <w:rFonts w:ascii="Verdana" w:hAnsi="Verdana" w:cs="Times New Roman"/>
          <w:sz w:val="20"/>
          <w:szCs w:val="20"/>
        </w:rPr>
        <w:t xml:space="preserve">) erfüllt alle heutigen Sicherheitsanforderungen an mikrobielle Arzneimittel umfassend und kann deshalb auch in hoher Dosierung Patienten </w:t>
      </w:r>
      <w:r w:rsidRPr="007C0D68">
        <w:rPr>
          <w:rFonts w:ascii="Verdana" w:hAnsi="Verdana" w:cs="Times New Roman"/>
          <w:sz w:val="20"/>
          <w:szCs w:val="20"/>
        </w:rPr>
        <w:br/>
        <w:t xml:space="preserve">aller Altersklassen sowie Schwangeren und Stillenden verabreicht werden. </w:t>
      </w:r>
      <w:r w:rsidRPr="007C0D68">
        <w:rPr>
          <w:rFonts w:ascii="Verdana" w:hAnsi="Verdana" w:cs="Times New Roman"/>
          <w:sz w:val="20"/>
          <w:szCs w:val="20"/>
        </w:rPr>
        <w:br/>
        <w:t>Die umfangreichen Forschungsergebnisse belegen, dass EcN keine der für E. coli bekannten Pathogenitätsfaktoren besitzt.</w:t>
      </w:r>
    </w:p>
    <w:p w14:paraId="57E492F1" w14:textId="01878BB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sz w:val="20"/>
          <w:szCs w:val="20"/>
        </w:rPr>
        <w:t>Der Stamm wurde von der Zentralen Kommission für Biologische Sicherheit (ZKBS) in die Risikogruppe 1 (unbedenkliche Mikroorganismen) eingestuft. Heute besonders wichtig: EcN besitzt keine Antibiotika-Resistenz-Plasmide, ist genetisch stabil und ein schlechter Rezipient für Fremd-DNA in Form von Antibiotika-Resistenz- und anderen Plasmiden.</w:t>
      </w:r>
    </w:p>
    <w:p w14:paraId="76E5FE77" w14:textId="3232BFAA" w:rsidR="00D122E9" w:rsidRPr="007C0D68" w:rsidRDefault="00D122E9" w:rsidP="00D122E9">
      <w:pPr>
        <w:spacing w:line="280" w:lineRule="atLeast"/>
        <w:rPr>
          <w:rFonts w:ascii="Verdana" w:hAnsi="Verdana" w:cs="Times New Roman"/>
          <w:b/>
          <w:sz w:val="20"/>
          <w:szCs w:val="20"/>
        </w:rPr>
      </w:pPr>
      <w:r w:rsidRPr="007C0D68">
        <w:rPr>
          <w:rFonts w:ascii="Verdana" w:hAnsi="Verdana" w:cs="Times New Roman"/>
          <w:b/>
          <w:sz w:val="20"/>
          <w:szCs w:val="20"/>
        </w:rPr>
        <w:t>Abbildungen:</w:t>
      </w:r>
      <w:r w:rsidR="007C0D68" w:rsidRPr="007C0D68">
        <w:rPr>
          <w:rFonts w:ascii="Verdana" w:hAnsi="Verdana" w:cs="Times New Roman"/>
          <w:noProof/>
          <w:sz w:val="20"/>
          <w:szCs w:val="20"/>
          <w:lang w:eastAsia="de-DE"/>
        </w:rPr>
        <w:t xml:space="preserve"> </w:t>
      </w:r>
    </w:p>
    <w:p w14:paraId="31DF1568" w14:textId="5FEFB1CD" w:rsidR="007F32B5" w:rsidRPr="007C0D68" w:rsidRDefault="007C0D68" w:rsidP="00D122E9">
      <w:pPr>
        <w:spacing w:line="280" w:lineRule="atLeast"/>
        <w:rPr>
          <w:rFonts w:ascii="Verdana" w:hAnsi="Verdana" w:cs="Times New Roman"/>
          <w:sz w:val="20"/>
          <w:szCs w:val="20"/>
        </w:rPr>
      </w:pPr>
      <w:r w:rsidRPr="007C0D68">
        <w:rPr>
          <w:rFonts w:ascii="Verdana" w:hAnsi="Verdana" w:cs="Times New Roman"/>
          <w:noProof/>
          <w:sz w:val="20"/>
          <w:szCs w:val="20"/>
          <w:lang w:eastAsia="de-DE"/>
        </w:rPr>
        <w:drawing>
          <wp:anchor distT="0" distB="0" distL="114300" distR="114300" simplePos="0" relativeHeight="251659264" behindDoc="0" locked="0" layoutInCell="1" allowOverlap="1" wp14:anchorId="7E339D65" wp14:editId="20FE5092">
            <wp:simplePos x="0" y="0"/>
            <wp:positionH relativeFrom="column">
              <wp:posOffset>-843</wp:posOffset>
            </wp:positionH>
            <wp:positionV relativeFrom="paragraph">
              <wp:posOffset>17957</wp:posOffset>
            </wp:positionV>
            <wp:extent cx="4331543" cy="2648681"/>
            <wp:effectExtent l="0" t="0" r="1206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9652" cy="2659754"/>
                    </a:xfrm>
                    <a:prstGeom prst="rect">
                      <a:avLst/>
                    </a:prstGeom>
                  </pic:spPr>
                </pic:pic>
              </a:graphicData>
            </a:graphic>
            <wp14:sizeRelH relativeFrom="page">
              <wp14:pctWidth>0</wp14:pctWidth>
            </wp14:sizeRelH>
            <wp14:sizeRelV relativeFrom="page">
              <wp14:pctHeight>0</wp14:pctHeight>
            </wp14:sizeRelV>
          </wp:anchor>
        </w:drawing>
      </w:r>
    </w:p>
    <w:p w14:paraId="62F1CCEC" w14:textId="77777777" w:rsidR="007C0D68" w:rsidRDefault="007C0D68" w:rsidP="00D122E9">
      <w:pPr>
        <w:spacing w:line="280" w:lineRule="atLeast"/>
        <w:rPr>
          <w:rFonts w:ascii="Verdana" w:hAnsi="Verdana" w:cs="Times New Roman"/>
          <w:b/>
          <w:sz w:val="20"/>
          <w:szCs w:val="20"/>
        </w:rPr>
      </w:pPr>
    </w:p>
    <w:p w14:paraId="714F640E" w14:textId="77777777" w:rsidR="007C0D68" w:rsidRDefault="007C0D68" w:rsidP="00D122E9">
      <w:pPr>
        <w:spacing w:line="280" w:lineRule="atLeast"/>
        <w:rPr>
          <w:rFonts w:ascii="Verdana" w:hAnsi="Verdana" w:cs="Times New Roman"/>
          <w:b/>
          <w:sz w:val="20"/>
          <w:szCs w:val="20"/>
        </w:rPr>
      </w:pPr>
    </w:p>
    <w:p w14:paraId="0DBE63A0" w14:textId="77777777" w:rsidR="007C0D68" w:rsidRDefault="007C0D68" w:rsidP="00D122E9">
      <w:pPr>
        <w:spacing w:line="280" w:lineRule="atLeast"/>
        <w:rPr>
          <w:rFonts w:ascii="Verdana" w:hAnsi="Verdana" w:cs="Times New Roman"/>
          <w:b/>
          <w:sz w:val="20"/>
          <w:szCs w:val="20"/>
        </w:rPr>
      </w:pPr>
    </w:p>
    <w:p w14:paraId="2BD4501F" w14:textId="77777777" w:rsidR="007C0D68" w:rsidRDefault="007C0D68" w:rsidP="00D122E9">
      <w:pPr>
        <w:spacing w:line="280" w:lineRule="atLeast"/>
        <w:rPr>
          <w:rFonts w:ascii="Verdana" w:hAnsi="Verdana" w:cs="Times New Roman"/>
          <w:b/>
          <w:sz w:val="20"/>
          <w:szCs w:val="20"/>
        </w:rPr>
      </w:pPr>
    </w:p>
    <w:p w14:paraId="0B128B82" w14:textId="77777777" w:rsidR="007C0D68" w:rsidRDefault="007C0D68" w:rsidP="00D122E9">
      <w:pPr>
        <w:spacing w:line="280" w:lineRule="atLeast"/>
        <w:rPr>
          <w:rFonts w:ascii="Verdana" w:hAnsi="Verdana" w:cs="Times New Roman"/>
          <w:b/>
          <w:sz w:val="20"/>
          <w:szCs w:val="20"/>
        </w:rPr>
      </w:pPr>
    </w:p>
    <w:p w14:paraId="617EB053" w14:textId="77777777" w:rsidR="007C0D68" w:rsidRDefault="007C0D68" w:rsidP="00D122E9">
      <w:pPr>
        <w:spacing w:line="280" w:lineRule="atLeast"/>
        <w:rPr>
          <w:rFonts w:ascii="Verdana" w:hAnsi="Verdana" w:cs="Times New Roman"/>
          <w:b/>
          <w:sz w:val="20"/>
          <w:szCs w:val="20"/>
        </w:rPr>
      </w:pPr>
    </w:p>
    <w:p w14:paraId="543F3F89" w14:textId="77777777" w:rsidR="007C0D68" w:rsidRDefault="007C0D68" w:rsidP="00D122E9">
      <w:pPr>
        <w:spacing w:line="280" w:lineRule="atLeast"/>
        <w:rPr>
          <w:rFonts w:ascii="Verdana" w:hAnsi="Verdana" w:cs="Times New Roman"/>
          <w:b/>
          <w:sz w:val="20"/>
          <w:szCs w:val="20"/>
        </w:rPr>
      </w:pPr>
    </w:p>
    <w:p w14:paraId="71B4A965" w14:textId="77777777" w:rsidR="007C0D68" w:rsidRDefault="007C0D68" w:rsidP="00D122E9">
      <w:pPr>
        <w:spacing w:line="280" w:lineRule="atLeast"/>
        <w:rPr>
          <w:rFonts w:ascii="Verdana" w:hAnsi="Verdana" w:cs="Times New Roman"/>
          <w:b/>
          <w:sz w:val="20"/>
          <w:szCs w:val="20"/>
        </w:rPr>
      </w:pPr>
    </w:p>
    <w:p w14:paraId="305456BB" w14:textId="564507DA"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b/>
          <w:sz w:val="20"/>
          <w:szCs w:val="20"/>
        </w:rPr>
        <w:t>Abb. 1:</w:t>
      </w:r>
      <w:r w:rsidRPr="007C0D68">
        <w:rPr>
          <w:rFonts w:ascii="Verdana" w:hAnsi="Verdana" w:cs="Times New Roman"/>
          <w:sz w:val="20"/>
          <w:szCs w:val="20"/>
        </w:rPr>
        <w:t xml:space="preserve"> Übersicht phänotypischer Charakteristika von EcN und ihre Genloci auf dem Bakterienchromosom</w:t>
      </w:r>
    </w:p>
    <w:p w14:paraId="2E900A98" w14:textId="4F4D57A5" w:rsidR="00D122E9" w:rsidRPr="007C0D68" w:rsidRDefault="00491648" w:rsidP="00D122E9">
      <w:pPr>
        <w:spacing w:line="280" w:lineRule="atLeast"/>
        <w:rPr>
          <w:rFonts w:ascii="Verdana" w:hAnsi="Verdana" w:cs="Times New Roman"/>
          <w:sz w:val="20"/>
          <w:szCs w:val="20"/>
        </w:rPr>
      </w:pPr>
      <w:r w:rsidRPr="007C0D68">
        <w:rPr>
          <w:rFonts w:ascii="Verdana" w:hAnsi="Verdana" w:cs="Times New Roman"/>
          <w:noProof/>
          <w:sz w:val="20"/>
          <w:szCs w:val="20"/>
          <w:lang w:eastAsia="de-DE"/>
        </w:rPr>
        <w:lastRenderedPageBreak/>
        <w:drawing>
          <wp:inline distT="0" distB="0" distL="0" distR="0" wp14:anchorId="652829E8" wp14:editId="472C7874">
            <wp:extent cx="4344243" cy="2497238"/>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7901" cy="2510837"/>
                    </a:xfrm>
                    <a:prstGeom prst="rect">
                      <a:avLst/>
                    </a:prstGeom>
                  </pic:spPr>
                </pic:pic>
              </a:graphicData>
            </a:graphic>
          </wp:inline>
        </w:drawing>
      </w:r>
      <w:r w:rsidR="00D122E9" w:rsidRPr="007C0D68">
        <w:rPr>
          <w:rFonts w:ascii="Verdana" w:hAnsi="Verdana" w:cs="Times New Roman"/>
          <w:sz w:val="20"/>
          <w:szCs w:val="20"/>
        </w:rPr>
        <w:t xml:space="preserve"> </w:t>
      </w:r>
    </w:p>
    <w:p w14:paraId="66F327B5" w14:textId="4C16E47A" w:rsidR="00D122E9" w:rsidRPr="007C0D68" w:rsidRDefault="00D122E9" w:rsidP="00D122E9">
      <w:pPr>
        <w:spacing w:line="280" w:lineRule="atLeast"/>
        <w:rPr>
          <w:rFonts w:ascii="Verdana" w:hAnsi="Verdana" w:cs="Times New Roman"/>
          <w:sz w:val="20"/>
          <w:szCs w:val="20"/>
          <w:vertAlign w:val="superscript"/>
        </w:rPr>
      </w:pPr>
      <w:r w:rsidRPr="007C0D68">
        <w:rPr>
          <w:rFonts w:ascii="Verdana" w:hAnsi="Verdana" w:cs="Times New Roman"/>
          <w:b/>
          <w:sz w:val="20"/>
          <w:szCs w:val="20"/>
        </w:rPr>
        <w:t xml:space="preserve">Abb. 2: </w:t>
      </w:r>
      <w:r w:rsidRPr="007C0D68">
        <w:rPr>
          <w:rFonts w:ascii="Verdana" w:hAnsi="Verdana" w:cs="Times New Roman"/>
          <w:sz w:val="20"/>
          <w:szCs w:val="20"/>
        </w:rPr>
        <w:t xml:space="preserve">Wirkmechanismen und Interaktionen von EcN im Darm </w:t>
      </w:r>
      <w:r w:rsidRPr="007C0D68">
        <w:rPr>
          <w:rFonts w:ascii="Verdana" w:hAnsi="Verdana" w:cs="Times New Roman"/>
          <w:sz w:val="20"/>
          <w:szCs w:val="20"/>
        </w:rPr>
        <w:br/>
        <w:t xml:space="preserve">(bakterieller Antagonismus) und am Darmepithel </w:t>
      </w:r>
      <w:r w:rsidRPr="007C0D68">
        <w:rPr>
          <w:rFonts w:ascii="Verdana" w:hAnsi="Verdana" w:cs="Times New Roman"/>
          <w:sz w:val="20"/>
          <w:szCs w:val="20"/>
          <w:vertAlign w:val="superscript"/>
        </w:rPr>
        <w:t>26–28</w:t>
      </w:r>
    </w:p>
    <w:p w14:paraId="19473754" w14:textId="0E9C8925" w:rsidR="00D122E9" w:rsidRPr="007C0D68" w:rsidRDefault="00491648" w:rsidP="00D122E9">
      <w:pPr>
        <w:spacing w:line="280" w:lineRule="atLeast"/>
        <w:rPr>
          <w:rFonts w:ascii="Verdana" w:hAnsi="Verdana" w:cs="Times New Roman"/>
          <w:sz w:val="20"/>
          <w:szCs w:val="20"/>
        </w:rPr>
      </w:pPr>
      <w:r w:rsidRPr="007C0D68">
        <w:rPr>
          <w:rFonts w:ascii="Verdana" w:hAnsi="Verdana" w:cs="Times New Roman"/>
          <w:noProof/>
          <w:sz w:val="20"/>
          <w:szCs w:val="20"/>
          <w:lang w:eastAsia="de-DE"/>
        </w:rPr>
        <w:drawing>
          <wp:anchor distT="0" distB="0" distL="114300" distR="114300" simplePos="0" relativeHeight="251658240" behindDoc="0" locked="0" layoutInCell="1" allowOverlap="1" wp14:anchorId="0EBF63A9" wp14:editId="5D1BF453">
            <wp:simplePos x="0" y="0"/>
            <wp:positionH relativeFrom="column">
              <wp:posOffset>208</wp:posOffset>
            </wp:positionH>
            <wp:positionV relativeFrom="paragraph">
              <wp:posOffset>71849</wp:posOffset>
            </wp:positionV>
            <wp:extent cx="1606053" cy="3438761"/>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06053" cy="3438761"/>
                    </a:xfrm>
                    <a:prstGeom prst="rect">
                      <a:avLst/>
                    </a:prstGeom>
                  </pic:spPr>
                </pic:pic>
              </a:graphicData>
            </a:graphic>
            <wp14:sizeRelH relativeFrom="page">
              <wp14:pctWidth>0</wp14:pctWidth>
            </wp14:sizeRelH>
            <wp14:sizeRelV relativeFrom="page">
              <wp14:pctHeight>0</wp14:pctHeight>
            </wp14:sizeRelV>
          </wp:anchor>
        </w:drawing>
      </w:r>
    </w:p>
    <w:p w14:paraId="5C224C8F" w14:textId="0BE295E1" w:rsidR="00D122E9" w:rsidRPr="007C0D68" w:rsidRDefault="00D122E9" w:rsidP="00D122E9">
      <w:pPr>
        <w:spacing w:line="280" w:lineRule="atLeast"/>
        <w:rPr>
          <w:rFonts w:ascii="Verdana" w:hAnsi="Verdana" w:cs="Times New Roman"/>
          <w:b/>
          <w:sz w:val="20"/>
          <w:szCs w:val="20"/>
        </w:rPr>
      </w:pPr>
    </w:p>
    <w:p w14:paraId="2ADFE8E3" w14:textId="4692B052" w:rsidR="00D122E9" w:rsidRPr="007C0D68" w:rsidRDefault="00D122E9" w:rsidP="00D122E9">
      <w:pPr>
        <w:spacing w:line="280" w:lineRule="atLeast"/>
        <w:rPr>
          <w:rFonts w:ascii="Verdana" w:hAnsi="Verdana" w:cs="Times New Roman"/>
          <w:b/>
          <w:sz w:val="20"/>
          <w:szCs w:val="20"/>
        </w:rPr>
      </w:pPr>
    </w:p>
    <w:p w14:paraId="6AF60542" w14:textId="6A7CFD53" w:rsidR="00D122E9" w:rsidRPr="007C0D68" w:rsidRDefault="00D122E9" w:rsidP="00D122E9">
      <w:pPr>
        <w:spacing w:line="280" w:lineRule="atLeast"/>
        <w:rPr>
          <w:rFonts w:ascii="Verdana" w:hAnsi="Verdana" w:cs="Times New Roman"/>
          <w:b/>
          <w:sz w:val="20"/>
          <w:szCs w:val="20"/>
        </w:rPr>
      </w:pPr>
    </w:p>
    <w:p w14:paraId="7B34A90A" w14:textId="77777777" w:rsidR="00D122E9" w:rsidRPr="007C0D68" w:rsidRDefault="00D122E9" w:rsidP="00D122E9">
      <w:pPr>
        <w:spacing w:line="280" w:lineRule="atLeast"/>
        <w:rPr>
          <w:rFonts w:ascii="Verdana" w:hAnsi="Verdana" w:cs="Times New Roman"/>
          <w:b/>
          <w:sz w:val="20"/>
          <w:szCs w:val="20"/>
        </w:rPr>
      </w:pPr>
    </w:p>
    <w:p w14:paraId="2E45CC69" w14:textId="77777777" w:rsidR="00D122E9" w:rsidRPr="007C0D68" w:rsidRDefault="00D122E9" w:rsidP="00D122E9">
      <w:pPr>
        <w:spacing w:line="280" w:lineRule="atLeast"/>
        <w:rPr>
          <w:rFonts w:ascii="Verdana" w:hAnsi="Verdana" w:cs="Times New Roman"/>
          <w:b/>
          <w:sz w:val="20"/>
          <w:szCs w:val="20"/>
        </w:rPr>
      </w:pPr>
    </w:p>
    <w:p w14:paraId="46BFA1A6" w14:textId="77777777" w:rsidR="00D122E9" w:rsidRPr="007C0D68" w:rsidRDefault="00D122E9" w:rsidP="00D122E9">
      <w:pPr>
        <w:spacing w:line="280" w:lineRule="atLeast"/>
        <w:rPr>
          <w:rFonts w:ascii="Verdana" w:hAnsi="Verdana" w:cs="Times New Roman"/>
          <w:b/>
          <w:sz w:val="20"/>
          <w:szCs w:val="20"/>
        </w:rPr>
      </w:pPr>
    </w:p>
    <w:p w14:paraId="20A35CF2" w14:textId="77777777" w:rsidR="00D122E9" w:rsidRPr="007C0D68" w:rsidRDefault="00D122E9" w:rsidP="00D122E9">
      <w:pPr>
        <w:spacing w:line="280" w:lineRule="atLeast"/>
        <w:rPr>
          <w:rFonts w:ascii="Verdana" w:hAnsi="Verdana" w:cs="Times New Roman"/>
          <w:b/>
          <w:sz w:val="20"/>
          <w:szCs w:val="20"/>
        </w:rPr>
      </w:pPr>
    </w:p>
    <w:p w14:paraId="40A93E69" w14:textId="77777777" w:rsidR="00D122E9" w:rsidRPr="007C0D68" w:rsidRDefault="00D122E9" w:rsidP="00D122E9">
      <w:pPr>
        <w:spacing w:line="280" w:lineRule="atLeast"/>
        <w:rPr>
          <w:rFonts w:ascii="Verdana" w:hAnsi="Verdana" w:cs="Times New Roman"/>
          <w:b/>
          <w:sz w:val="20"/>
          <w:szCs w:val="20"/>
        </w:rPr>
      </w:pPr>
    </w:p>
    <w:p w14:paraId="37CC2B92" w14:textId="77777777" w:rsidR="00D122E9" w:rsidRPr="007C0D68" w:rsidRDefault="00D122E9" w:rsidP="00D122E9">
      <w:pPr>
        <w:spacing w:line="280" w:lineRule="atLeast"/>
        <w:rPr>
          <w:rFonts w:ascii="Verdana" w:hAnsi="Verdana" w:cs="Times New Roman"/>
          <w:b/>
          <w:sz w:val="20"/>
          <w:szCs w:val="20"/>
        </w:rPr>
      </w:pPr>
    </w:p>
    <w:p w14:paraId="21502A83" w14:textId="77777777" w:rsidR="007F32B5" w:rsidRPr="007C0D68" w:rsidRDefault="007F32B5" w:rsidP="00D122E9">
      <w:pPr>
        <w:spacing w:line="280" w:lineRule="atLeast"/>
        <w:rPr>
          <w:rFonts w:ascii="Verdana" w:hAnsi="Verdana" w:cs="Times New Roman"/>
          <w:b/>
          <w:sz w:val="20"/>
          <w:szCs w:val="20"/>
        </w:rPr>
      </w:pPr>
    </w:p>
    <w:p w14:paraId="5A8640C0" w14:textId="77777777" w:rsidR="007F32B5" w:rsidRPr="007C0D68" w:rsidRDefault="007F32B5" w:rsidP="00D122E9">
      <w:pPr>
        <w:spacing w:line="280" w:lineRule="atLeast"/>
        <w:rPr>
          <w:rFonts w:ascii="Verdana" w:hAnsi="Verdana" w:cs="Times New Roman"/>
          <w:b/>
          <w:sz w:val="20"/>
          <w:szCs w:val="20"/>
        </w:rPr>
      </w:pPr>
    </w:p>
    <w:p w14:paraId="504983DA" w14:textId="77777777" w:rsidR="00D122E9" w:rsidRPr="007C0D68" w:rsidRDefault="00D122E9" w:rsidP="00D122E9">
      <w:pPr>
        <w:spacing w:line="280" w:lineRule="atLeast"/>
        <w:rPr>
          <w:rFonts w:ascii="Verdana" w:hAnsi="Verdana" w:cs="Times New Roman"/>
          <w:sz w:val="20"/>
          <w:szCs w:val="20"/>
        </w:rPr>
      </w:pPr>
      <w:r w:rsidRPr="007C0D68">
        <w:rPr>
          <w:rFonts w:ascii="Verdana" w:hAnsi="Verdana" w:cs="Times New Roman"/>
          <w:b/>
          <w:sz w:val="20"/>
          <w:szCs w:val="20"/>
        </w:rPr>
        <w:t>Abb. 3:</w:t>
      </w:r>
      <w:r w:rsidRPr="007C0D68">
        <w:rPr>
          <w:rFonts w:ascii="Verdana" w:hAnsi="Verdana" w:cs="Times New Roman"/>
          <w:sz w:val="20"/>
          <w:szCs w:val="20"/>
        </w:rPr>
        <w:t xml:space="preserve"> Kommunikationsstrategien von EcN (mod. nach Hacker et al., 2000)</w:t>
      </w:r>
      <w:r w:rsidRPr="007C0D68">
        <w:rPr>
          <w:rFonts w:ascii="Verdana" w:hAnsi="Verdana" w:cs="Times New Roman"/>
          <w:sz w:val="20"/>
          <w:szCs w:val="20"/>
          <w:vertAlign w:val="superscript"/>
        </w:rPr>
        <w:t xml:space="preserve"> 29</w:t>
      </w:r>
    </w:p>
    <w:p w14:paraId="74AF7EBC" w14:textId="77777777" w:rsidR="007C0D68" w:rsidRDefault="007C0D68">
      <w:pPr>
        <w:spacing w:after="0" w:line="240" w:lineRule="auto"/>
        <w:rPr>
          <w:rFonts w:ascii="Verdana" w:hAnsi="Verdana" w:cs="Times New Roman"/>
          <w:b/>
          <w:sz w:val="20"/>
          <w:szCs w:val="20"/>
        </w:rPr>
      </w:pPr>
      <w:r>
        <w:rPr>
          <w:rFonts w:ascii="Verdana" w:hAnsi="Verdana" w:cs="Times New Roman"/>
          <w:b/>
          <w:sz w:val="20"/>
          <w:szCs w:val="20"/>
        </w:rPr>
        <w:br w:type="page"/>
      </w:r>
    </w:p>
    <w:p w14:paraId="2F5426FA" w14:textId="5765BA78" w:rsidR="00D122E9" w:rsidRPr="007C0D68" w:rsidRDefault="00D122E9" w:rsidP="00D122E9">
      <w:pPr>
        <w:spacing w:line="280" w:lineRule="atLeast"/>
        <w:rPr>
          <w:rFonts w:ascii="Verdana" w:hAnsi="Verdana" w:cs="Times New Roman"/>
          <w:b/>
          <w:sz w:val="20"/>
          <w:szCs w:val="20"/>
        </w:rPr>
      </w:pPr>
      <w:r w:rsidRPr="007C0D68">
        <w:rPr>
          <w:rFonts w:ascii="Verdana" w:hAnsi="Verdana" w:cs="Times New Roman"/>
          <w:b/>
          <w:sz w:val="20"/>
          <w:szCs w:val="20"/>
        </w:rPr>
        <w:lastRenderedPageBreak/>
        <w:t>Literatur:</w:t>
      </w:r>
    </w:p>
    <w:p w14:paraId="4A68040F"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Bär F </w:t>
      </w:r>
      <w:proofErr w:type="gramStart"/>
      <w:r w:rsidRPr="007C0D68">
        <w:rPr>
          <w:rFonts w:ascii="Verdana" w:hAnsi="Verdana" w:cs="Times New Roman"/>
          <w:sz w:val="20"/>
          <w:szCs w:val="20"/>
          <w:lang w:val="en-US"/>
        </w:rPr>
        <w:t>et al.</w:t>
      </w:r>
      <w:proofErr w:type="gramEnd"/>
      <w:r w:rsidRPr="007C0D68">
        <w:rPr>
          <w:rFonts w:ascii="Verdana" w:hAnsi="Verdana" w:cs="Times New Roman"/>
          <w:sz w:val="20"/>
          <w:szCs w:val="20"/>
          <w:lang w:val="en-US"/>
        </w:rPr>
        <w:t xml:space="preserve"> Cell-free supernatants of Escherichia coli Nissle 1917 modulate human colonic motility: evidence from an in vitro organ bath study. </w:t>
      </w:r>
      <w:r w:rsidRPr="007C0D68">
        <w:rPr>
          <w:rFonts w:ascii="Verdana" w:hAnsi="Verdana" w:cs="Times New Roman"/>
          <w:sz w:val="20"/>
          <w:szCs w:val="20"/>
        </w:rPr>
        <w:t xml:space="preserve">Neurogastroenterol Motil 2009; 21: 559–e17. </w:t>
      </w:r>
    </w:p>
    <w:p w14:paraId="137098FB"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rPr>
        <w:t xml:space="preserve">Möllenbrink M, Bruckschen E. Behandlung der chronischen Obstipation mit physiologischen Escherichia-coli-Bakterien. Med Klin 1994; 89: 587–593. </w:t>
      </w:r>
    </w:p>
    <w:p w14:paraId="61A98D61"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Ukena SN et al. Probiotic Escherichia coli Nissle 1917 inhibits leaky gut by enhancing mucosal integrity. </w:t>
      </w:r>
      <w:r w:rsidRPr="007C0D68">
        <w:rPr>
          <w:rFonts w:ascii="Verdana" w:hAnsi="Verdana" w:cs="Times New Roman"/>
          <w:sz w:val="20"/>
          <w:szCs w:val="20"/>
        </w:rPr>
        <w:t xml:space="preserve">PLOS ONE 2007; 12: e1308; 1–9. </w:t>
      </w:r>
    </w:p>
    <w:p w14:paraId="40A1A4EB"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Zyrek AA et al. Molecular mechanisms underlying the probiotic effects of Escherichia coli Nissle 1917 involve ZO-2 and PKCz redistribution resulting in tight junction and epithelial barrier repair. </w:t>
      </w:r>
      <w:r w:rsidRPr="007C0D68">
        <w:rPr>
          <w:rFonts w:ascii="Verdana" w:hAnsi="Verdana" w:cs="Times New Roman"/>
          <w:sz w:val="20"/>
          <w:szCs w:val="20"/>
        </w:rPr>
        <w:t xml:space="preserve">Cell Microbiol 2007; 9: 804–816. </w:t>
      </w:r>
    </w:p>
    <w:p w14:paraId="1440ADAE"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Rund SA et al. Antagonistic effects of probiotic Escherichia coli Nissle 1917 on EHEC strains of serotype O104:H4 and O157:H7. </w:t>
      </w:r>
      <w:r w:rsidRPr="007C0D68">
        <w:rPr>
          <w:rFonts w:ascii="Verdana" w:hAnsi="Verdana" w:cs="Times New Roman"/>
          <w:sz w:val="20"/>
          <w:szCs w:val="20"/>
        </w:rPr>
        <w:t xml:space="preserve">Int J Med Microbiol 2013; 303: 1–8. </w:t>
      </w:r>
    </w:p>
    <w:p w14:paraId="1053ABAE"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rPr>
        <w:t>Schröder H. Entwicklung der aeroben Darmflora bei Neugeborenen nach Kolonisierung mit dem E.</w:t>
      </w:r>
      <w:r w:rsidRPr="007C0D68">
        <w:rPr>
          <w:rFonts w:ascii="Calibri" w:eastAsia="Calibri" w:hAnsi="Calibri" w:cs="Calibri"/>
          <w:sz w:val="20"/>
          <w:szCs w:val="20"/>
        </w:rPr>
        <w:t> </w:t>
      </w:r>
      <w:r w:rsidRPr="007C0D68">
        <w:rPr>
          <w:rFonts w:ascii="Verdana" w:hAnsi="Verdana" w:cs="Times New Roman"/>
          <w:sz w:val="20"/>
          <w:szCs w:val="20"/>
        </w:rPr>
        <w:t xml:space="preserve">coli-Stamm Nissle 1917. Der Kinderarzt 1992; 23(10): 1619–1625. </w:t>
      </w:r>
    </w:p>
    <w:p w14:paraId="74EDDFEA"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Lodinová-Žádníková R, Sonnenborn U. Effect of preventive administration of a nonpathogenic Escherichia coli strain on the colonization of the intestine with microbial pathogens in newborn infants. </w:t>
      </w:r>
      <w:r w:rsidRPr="007C0D68">
        <w:rPr>
          <w:rFonts w:ascii="Verdana" w:hAnsi="Verdana" w:cs="Times New Roman"/>
          <w:sz w:val="20"/>
          <w:szCs w:val="20"/>
        </w:rPr>
        <w:t xml:space="preserve">Biol Neonate 1997; 71: 224–232. </w:t>
      </w:r>
    </w:p>
    <w:p w14:paraId="64B40C91"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Cukrowska B </w:t>
      </w:r>
      <w:proofErr w:type="gramStart"/>
      <w:r w:rsidRPr="007C0D68">
        <w:rPr>
          <w:rFonts w:ascii="Verdana" w:hAnsi="Verdana" w:cs="Times New Roman"/>
          <w:sz w:val="20"/>
          <w:szCs w:val="20"/>
          <w:lang w:val="en-US"/>
        </w:rPr>
        <w:t>et al.</w:t>
      </w:r>
      <w:proofErr w:type="gramEnd"/>
      <w:r w:rsidRPr="007C0D68">
        <w:rPr>
          <w:rFonts w:ascii="Verdana" w:hAnsi="Verdana" w:cs="Times New Roman"/>
          <w:sz w:val="20"/>
          <w:szCs w:val="20"/>
          <w:lang w:val="en-US"/>
        </w:rPr>
        <w:t xml:space="preserve"> Specific proliferative and antibody responses of premature infants to intestinal colonization with nonpathogenic probiotic E.</w:t>
      </w:r>
      <w:r w:rsidRPr="007C0D68">
        <w:rPr>
          <w:rFonts w:ascii="Calibri" w:eastAsia="Calibri" w:hAnsi="Calibri" w:cs="Calibri"/>
          <w:sz w:val="20"/>
          <w:szCs w:val="20"/>
          <w:lang w:val="en-US"/>
        </w:rPr>
        <w:t> </w:t>
      </w:r>
      <w:r w:rsidRPr="007C0D68">
        <w:rPr>
          <w:rFonts w:ascii="Verdana" w:hAnsi="Verdana" w:cs="Times New Roman"/>
          <w:sz w:val="20"/>
          <w:szCs w:val="20"/>
          <w:lang w:val="en-US"/>
        </w:rPr>
        <w:t xml:space="preserve">coli strain Nissle 1917. </w:t>
      </w:r>
      <w:r w:rsidRPr="007C0D68">
        <w:rPr>
          <w:rFonts w:ascii="Verdana" w:hAnsi="Verdana" w:cs="Times New Roman"/>
          <w:sz w:val="20"/>
          <w:szCs w:val="20"/>
        </w:rPr>
        <w:t xml:space="preserve">Scand J Immunol 2002; 55: 204–209. </w:t>
      </w:r>
    </w:p>
    <w:p w14:paraId="6A52FA8E"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rPr>
        <w:t xml:space="preserve">Lodinová-Žádníková R et al. </w:t>
      </w:r>
      <w:r w:rsidRPr="007C0D68">
        <w:rPr>
          <w:rFonts w:ascii="Verdana" w:hAnsi="Verdana" w:cs="Times New Roman"/>
          <w:sz w:val="20"/>
          <w:szCs w:val="20"/>
          <w:lang w:val="en-US"/>
        </w:rPr>
        <w:t>Local and serum antibody response in fullterm and premature infants after artificial colonization of the intestine with E.</w:t>
      </w:r>
      <w:r w:rsidRPr="007C0D68">
        <w:rPr>
          <w:rFonts w:ascii="Calibri" w:eastAsia="Calibri" w:hAnsi="Calibri" w:cs="Calibri"/>
          <w:sz w:val="20"/>
          <w:szCs w:val="20"/>
          <w:lang w:val="en-US"/>
        </w:rPr>
        <w:t> </w:t>
      </w:r>
      <w:r w:rsidRPr="007C0D68">
        <w:rPr>
          <w:rFonts w:ascii="Verdana" w:hAnsi="Verdana" w:cs="Times New Roman"/>
          <w:sz w:val="20"/>
          <w:szCs w:val="20"/>
          <w:lang w:val="en-US"/>
        </w:rPr>
        <w:t xml:space="preserve">coli strain Nissle 1917 (Mutaflor). </w:t>
      </w:r>
      <w:r w:rsidRPr="007C0D68">
        <w:rPr>
          <w:rFonts w:ascii="Verdana" w:hAnsi="Verdana" w:cs="Times New Roman"/>
          <w:sz w:val="20"/>
          <w:szCs w:val="20"/>
        </w:rPr>
        <w:t xml:space="preserve">Pediatr Allergy Immunol 1992; 3: 43–48. </w:t>
      </w:r>
    </w:p>
    <w:p w14:paraId="0C62F84C"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Kruis W, et al. Maintaining remission of ulcerative colitis with the probiotic Escherichia coli Nissle 1917 is as effective as with standard mesalazine. </w:t>
      </w:r>
      <w:r w:rsidRPr="007C0D68">
        <w:rPr>
          <w:rFonts w:ascii="Verdana" w:hAnsi="Verdana" w:cs="Times New Roman"/>
          <w:sz w:val="20"/>
          <w:szCs w:val="20"/>
        </w:rPr>
        <w:t xml:space="preserve">Gut 2004; 53: 1617–1623. </w:t>
      </w:r>
    </w:p>
    <w:p w14:paraId="4BDC45DD"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Rembacken BJ et al. Non-pathogenic Escherichia coli versus mesalazine for the treatment of ulcerative colitis: a randomised trial. </w:t>
      </w:r>
      <w:r w:rsidRPr="007C0D68">
        <w:rPr>
          <w:rFonts w:ascii="Verdana" w:hAnsi="Verdana" w:cs="Times New Roman"/>
          <w:sz w:val="20"/>
          <w:szCs w:val="20"/>
        </w:rPr>
        <w:t xml:space="preserve">Lancet 1999; 354: 635–639. </w:t>
      </w:r>
    </w:p>
    <w:p w14:paraId="5C710959"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Wehkamp J et al. NF-kappaB- and AP-1-mediated induction of human beta defensin-2 in intestinal epithelial cells by Escherichia coli Nissle 1917: a novel effect of a probiotic bacterium. </w:t>
      </w:r>
      <w:r w:rsidRPr="007C0D68">
        <w:rPr>
          <w:rFonts w:ascii="Verdana" w:hAnsi="Verdana" w:cs="Times New Roman"/>
          <w:sz w:val="20"/>
          <w:szCs w:val="20"/>
        </w:rPr>
        <w:t>Infect Immun 2004; 72(10): 5750–5758.</w:t>
      </w:r>
    </w:p>
    <w:p w14:paraId="778081E8"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Troge A et al. More than a marine propeller – the flagellum of the probiotic Escherichia coli strain Nissle 1917 is the major adhesin mediating binding to human mucus. </w:t>
      </w:r>
      <w:r w:rsidRPr="007C0D68">
        <w:rPr>
          <w:rFonts w:ascii="Verdana" w:hAnsi="Verdana" w:cs="Times New Roman"/>
          <w:sz w:val="20"/>
          <w:szCs w:val="20"/>
        </w:rPr>
        <w:t>Int J Med Microbiol 2012; 302: 304–314.</w:t>
      </w:r>
    </w:p>
    <w:p w14:paraId="180494AC"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Patzer S I et al. The colicin G, H and X determinants encode microcins M and H47, which might utilize the catecholate siderophore receptors FepA, Cir, Fiu and IroN. </w:t>
      </w:r>
      <w:proofErr w:type="spellStart"/>
      <w:r w:rsidRPr="007C0D68">
        <w:rPr>
          <w:rFonts w:ascii="Verdana" w:hAnsi="Verdana" w:cs="Times New Roman"/>
          <w:sz w:val="20"/>
          <w:szCs w:val="20"/>
        </w:rPr>
        <w:t>Microbiology</w:t>
      </w:r>
      <w:proofErr w:type="spellEnd"/>
      <w:r w:rsidRPr="007C0D68">
        <w:rPr>
          <w:rFonts w:ascii="Verdana" w:hAnsi="Verdana" w:cs="Times New Roman"/>
          <w:sz w:val="20"/>
          <w:szCs w:val="20"/>
        </w:rPr>
        <w:t xml:space="preserve"> 2003; 149: 2557–2570.</w:t>
      </w:r>
    </w:p>
    <w:p w14:paraId="02C859D6"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Oelschlaeger TA et al. Inhibition of Salmonella typhimurium invasion into intestinal cells by the probiotic E. coli strain Nissle 1917. </w:t>
      </w:r>
      <w:r w:rsidRPr="007C0D68">
        <w:rPr>
          <w:rFonts w:ascii="Verdana" w:hAnsi="Verdana" w:cs="Times New Roman"/>
          <w:sz w:val="20"/>
          <w:szCs w:val="20"/>
        </w:rPr>
        <w:t>Gastroenterology 2001; 120: A326.</w:t>
      </w:r>
    </w:p>
    <w:p w14:paraId="5B2B27EE"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Boudeau J et al. Inhibitory effect of probiotic Escherichia coli strain Nissle 1917 on adhesion to and invasion of intestinal epithelial cells by adherent-invasive E. coli strains isolated from patients with </w:t>
      </w:r>
      <w:proofErr w:type="gramStart"/>
      <w:r w:rsidRPr="007C0D68">
        <w:rPr>
          <w:rFonts w:ascii="Verdana" w:hAnsi="Verdana" w:cs="Times New Roman"/>
          <w:sz w:val="20"/>
          <w:szCs w:val="20"/>
          <w:lang w:val="en-US"/>
        </w:rPr>
        <w:t>Crohn‘</w:t>
      </w:r>
      <w:proofErr w:type="gramEnd"/>
      <w:r w:rsidRPr="007C0D68">
        <w:rPr>
          <w:rFonts w:ascii="Verdana" w:hAnsi="Verdana" w:cs="Times New Roman"/>
          <w:sz w:val="20"/>
          <w:szCs w:val="20"/>
          <w:lang w:val="en-US"/>
        </w:rPr>
        <w:t xml:space="preserve">s disease. </w:t>
      </w:r>
      <w:r w:rsidRPr="007C0D68">
        <w:rPr>
          <w:rFonts w:ascii="Verdana" w:hAnsi="Verdana" w:cs="Times New Roman"/>
          <w:sz w:val="20"/>
          <w:szCs w:val="20"/>
        </w:rPr>
        <w:t>Aliment Pharmacol Ther 2003; 18: 45–56.</w:t>
      </w:r>
    </w:p>
    <w:p w14:paraId="21A7B05A"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Altenhoefer A et al. The probiotic Escherichia coli strain Nissle 1917 interferes with invasion of human intestinal epithelial cells by different enteroinvasive bacterial pathogens. </w:t>
      </w:r>
      <w:r w:rsidRPr="007C0D68">
        <w:rPr>
          <w:rFonts w:ascii="Verdana" w:hAnsi="Verdana" w:cs="Times New Roman"/>
          <w:sz w:val="20"/>
          <w:szCs w:val="20"/>
        </w:rPr>
        <w:t>FEMS Immunol Med Microbiol 2004; 40: 223–229.</w:t>
      </w:r>
    </w:p>
    <w:p w14:paraId="392543D6"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lastRenderedPageBreak/>
        <w:t xml:space="preserve">Kleta S </w:t>
      </w:r>
      <w:proofErr w:type="gramStart"/>
      <w:r w:rsidRPr="007C0D68">
        <w:rPr>
          <w:rFonts w:ascii="Verdana" w:hAnsi="Verdana" w:cs="Times New Roman"/>
          <w:sz w:val="20"/>
          <w:szCs w:val="20"/>
          <w:lang w:val="en-US"/>
        </w:rPr>
        <w:t>et al.</w:t>
      </w:r>
      <w:proofErr w:type="gramEnd"/>
      <w:r w:rsidRPr="007C0D68">
        <w:rPr>
          <w:rFonts w:ascii="Verdana" w:hAnsi="Verdana" w:cs="Times New Roman"/>
          <w:sz w:val="20"/>
          <w:szCs w:val="20"/>
          <w:lang w:val="en-US"/>
        </w:rPr>
        <w:t xml:space="preserve"> Role of F1C fimbriae, flagella, and secreted bacterial components in the inhibitory effect of probiotic Escherichia coli Nissle 1917 on atypical enteropathogenic E. coli infection. </w:t>
      </w:r>
      <w:r w:rsidRPr="007C0D68">
        <w:rPr>
          <w:rFonts w:ascii="Verdana" w:hAnsi="Verdana" w:cs="Times New Roman"/>
          <w:sz w:val="20"/>
          <w:szCs w:val="20"/>
        </w:rPr>
        <w:t>Infect Immun 2014; 82(5): 1801–1812.</w:t>
      </w:r>
    </w:p>
    <w:p w14:paraId="65A84C18"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Leatham MP et al. Precolonized human commensal Escherichia coli strains serve as a barrier to E. coli O157:H7 growth in the streptomycin-treated mouse intestine. </w:t>
      </w:r>
      <w:r w:rsidRPr="007C0D68">
        <w:rPr>
          <w:rFonts w:ascii="Verdana" w:hAnsi="Verdana" w:cs="Times New Roman"/>
          <w:sz w:val="20"/>
          <w:szCs w:val="20"/>
        </w:rPr>
        <w:t>Infect Immun 2009; 77: 2876–2886.</w:t>
      </w:r>
    </w:p>
    <w:p w14:paraId="047C2F61"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Reissbrodt R </w:t>
      </w:r>
      <w:proofErr w:type="gramStart"/>
      <w:r w:rsidRPr="007C0D68">
        <w:rPr>
          <w:rFonts w:ascii="Verdana" w:hAnsi="Verdana" w:cs="Times New Roman"/>
          <w:sz w:val="20"/>
          <w:szCs w:val="20"/>
          <w:lang w:val="en-US"/>
        </w:rPr>
        <w:t>et al.</w:t>
      </w:r>
      <w:proofErr w:type="gramEnd"/>
      <w:r w:rsidRPr="007C0D68">
        <w:rPr>
          <w:rFonts w:ascii="Verdana" w:hAnsi="Verdana" w:cs="Times New Roman"/>
          <w:sz w:val="20"/>
          <w:szCs w:val="20"/>
          <w:lang w:val="en-US"/>
        </w:rPr>
        <w:t xml:space="preserve"> Inhibition of growth of Shiga toxin-producing Escherichia coli by nonpathogenic Escherichia coli. </w:t>
      </w:r>
      <w:r w:rsidRPr="007C0D68">
        <w:rPr>
          <w:rFonts w:ascii="Verdana" w:hAnsi="Verdana" w:cs="Times New Roman"/>
          <w:sz w:val="20"/>
          <w:szCs w:val="20"/>
        </w:rPr>
        <w:t>FEMS Microbiol Lett 2009; 290: 62–69.</w:t>
      </w:r>
    </w:p>
    <w:p w14:paraId="2B325CFA"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Rund SA et al. Antagonistic effects of probiotic Escherichia coli Nissle 1917 on EHEC strains of serotype O104:H4 and O157:H7. </w:t>
      </w:r>
      <w:r w:rsidRPr="007C0D68">
        <w:rPr>
          <w:rFonts w:ascii="Verdana" w:hAnsi="Verdana" w:cs="Times New Roman"/>
          <w:sz w:val="20"/>
          <w:szCs w:val="20"/>
        </w:rPr>
        <w:t>Int J Med Microbiol 2013; 303: 1–8.</w:t>
      </w:r>
    </w:p>
    <w:p w14:paraId="4625BA43"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lang w:val="en-US"/>
        </w:rPr>
      </w:pPr>
      <w:r w:rsidRPr="007C0D68">
        <w:rPr>
          <w:rFonts w:ascii="Verdana" w:hAnsi="Verdana" w:cs="Times New Roman"/>
          <w:sz w:val="20"/>
          <w:szCs w:val="20"/>
          <w:lang w:val="en-US"/>
        </w:rPr>
        <w:t>Kruis W et al., A double-blind placebo-controlled trial to study therapeutic effects of probiotic Escherichia coli Nissle 1917 in subgroups of patients with irritable bowel syndrome. Int J Colorectal Dis 2012; 27(4): 467–474.</w:t>
      </w:r>
    </w:p>
    <w:p w14:paraId="30677535"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Cichon C et al. DNA-Microarray-based comparison of cellular responses in polarized T84 epithelial cells triggered by probiotics: E. coli Nissle 1917 (EcN) and Lactobacillus acidophilus PZ1041. </w:t>
      </w:r>
      <w:r w:rsidRPr="007C0D68">
        <w:rPr>
          <w:rFonts w:ascii="Verdana" w:hAnsi="Verdana" w:cs="Times New Roman"/>
          <w:sz w:val="20"/>
          <w:szCs w:val="20"/>
        </w:rPr>
        <w:t>Gastroenterology 2004; 126(4): A-578.</w:t>
      </w:r>
    </w:p>
    <w:p w14:paraId="0C083611"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Schultz M </w:t>
      </w:r>
      <w:proofErr w:type="gramStart"/>
      <w:r w:rsidRPr="007C0D68">
        <w:rPr>
          <w:rFonts w:ascii="Verdana" w:hAnsi="Verdana" w:cs="Times New Roman"/>
          <w:sz w:val="20"/>
          <w:szCs w:val="20"/>
          <w:lang w:val="en-US"/>
        </w:rPr>
        <w:t>et al.</w:t>
      </w:r>
      <w:proofErr w:type="gramEnd"/>
      <w:r w:rsidRPr="007C0D68">
        <w:rPr>
          <w:rFonts w:ascii="Verdana" w:hAnsi="Verdana" w:cs="Times New Roman"/>
          <w:sz w:val="20"/>
          <w:szCs w:val="20"/>
          <w:lang w:val="en-US"/>
        </w:rPr>
        <w:t xml:space="preserve"> Preventive effects of Escherichia coli strain Nissle 1917 on acute and chronic intestinal inflammation in two different murine models of colitis. </w:t>
      </w:r>
      <w:r w:rsidRPr="007C0D68">
        <w:rPr>
          <w:rFonts w:ascii="Verdana" w:hAnsi="Verdana" w:cs="Times New Roman"/>
          <w:sz w:val="20"/>
          <w:szCs w:val="20"/>
        </w:rPr>
        <w:t>Clin Diagn Lab Immunol 2004; 11(2): 372–378.</w:t>
      </w:r>
    </w:p>
    <w:p w14:paraId="320EEC6A"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lang w:val="en-US"/>
        </w:rPr>
      </w:pPr>
      <w:r w:rsidRPr="007C0D68">
        <w:rPr>
          <w:rFonts w:ascii="Verdana" w:hAnsi="Verdana" w:cs="Times New Roman"/>
          <w:sz w:val="20"/>
          <w:szCs w:val="20"/>
          <w:lang w:val="en-US"/>
        </w:rPr>
        <w:t xml:space="preserve">Schlee M </w:t>
      </w:r>
      <w:proofErr w:type="gramStart"/>
      <w:r w:rsidRPr="007C0D68">
        <w:rPr>
          <w:rFonts w:ascii="Verdana" w:hAnsi="Verdana" w:cs="Times New Roman"/>
          <w:sz w:val="20"/>
          <w:szCs w:val="20"/>
          <w:lang w:val="en-US"/>
        </w:rPr>
        <w:t>et al.</w:t>
      </w:r>
      <w:proofErr w:type="gramEnd"/>
      <w:r w:rsidRPr="007C0D68">
        <w:rPr>
          <w:rFonts w:ascii="Verdana" w:hAnsi="Verdana" w:cs="Times New Roman"/>
          <w:sz w:val="20"/>
          <w:szCs w:val="20"/>
          <w:lang w:val="en-US"/>
        </w:rPr>
        <w:t xml:space="preserve"> Induction of human beta-defensin 2 by the probiotic Escherichia coli Nissle 1917 is mediated through </w:t>
      </w:r>
      <w:proofErr w:type="spellStart"/>
      <w:r w:rsidRPr="007C0D68">
        <w:rPr>
          <w:rFonts w:ascii="Verdana" w:hAnsi="Verdana" w:cs="Times New Roman"/>
          <w:sz w:val="20"/>
          <w:szCs w:val="20"/>
          <w:lang w:val="en-US"/>
        </w:rPr>
        <w:t>flagellin</w:t>
      </w:r>
      <w:proofErr w:type="spellEnd"/>
      <w:r w:rsidRPr="007C0D68">
        <w:rPr>
          <w:rFonts w:ascii="Verdana" w:hAnsi="Verdana" w:cs="Times New Roman"/>
          <w:sz w:val="20"/>
          <w:szCs w:val="20"/>
          <w:lang w:val="en-US"/>
        </w:rPr>
        <w:t>. Infect Immun 2007; 75(5): 2399–2407.</w:t>
      </w:r>
    </w:p>
    <w:p w14:paraId="019067DE"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rPr>
        <w:t>Schulze J et al. Probiotika – Mikroökologie, Mikrobiologie, Qualität, Sicherheit und gesundheitliche Effekte. Hippokrates, Stuttgart, ISBN 978-3-8304-5356-7, 2008.</w:t>
      </w:r>
    </w:p>
    <w:p w14:paraId="1BED5C75"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lang w:val="en-US"/>
        </w:rPr>
        <w:t xml:space="preserve">Sonnenborn U, Schulze J. The non-pathogenic Escherichia coli strain Nissle 1917 – features of a versatile probiotic. </w:t>
      </w:r>
      <w:r w:rsidRPr="007C0D68">
        <w:rPr>
          <w:rFonts w:ascii="Verdana" w:hAnsi="Verdana" w:cs="Times New Roman"/>
          <w:sz w:val="20"/>
          <w:szCs w:val="20"/>
        </w:rPr>
        <w:t>Microbial Ecol Health Dis 2009; 21: 122–158.</w:t>
      </w:r>
    </w:p>
    <w:p w14:paraId="7C00BFCE"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rPr>
        <w:t>Schiemann M et al. 125 Jahre E. coli – Bedeutung in Forschung und Medizin. Alfred-Nissle-Gesellschaft (Hrsg.) Hagen, ISBN 3-9811198-4-3, 2015</w:t>
      </w:r>
    </w:p>
    <w:p w14:paraId="43CB3C3B" w14:textId="77777777" w:rsidR="00D122E9" w:rsidRPr="007C0D68" w:rsidRDefault="00D122E9" w:rsidP="00D122E9">
      <w:pPr>
        <w:pStyle w:val="Listenabsatz"/>
        <w:numPr>
          <w:ilvl w:val="0"/>
          <w:numId w:val="1"/>
        </w:numPr>
        <w:spacing w:after="0" w:line="240" w:lineRule="auto"/>
        <w:ind w:left="425" w:hanging="425"/>
        <w:rPr>
          <w:rFonts w:ascii="Verdana" w:hAnsi="Verdana" w:cs="Times New Roman"/>
          <w:sz w:val="20"/>
          <w:szCs w:val="20"/>
        </w:rPr>
      </w:pPr>
      <w:r w:rsidRPr="007C0D68">
        <w:rPr>
          <w:rFonts w:ascii="Verdana" w:hAnsi="Verdana" w:cs="Times New Roman"/>
          <w:sz w:val="20"/>
          <w:szCs w:val="20"/>
        </w:rPr>
        <w:t xml:space="preserve">Hacker J, Heesemann J. Molekulare Infektionsbiologie: Interaktionen zwischen Mikroorganismen und Zellen. Berlin: Spektrum </w:t>
      </w:r>
      <w:proofErr w:type="spellStart"/>
      <w:r w:rsidRPr="007C0D68">
        <w:rPr>
          <w:rFonts w:ascii="Verdana" w:hAnsi="Verdana" w:cs="Times New Roman"/>
          <w:sz w:val="20"/>
          <w:szCs w:val="20"/>
        </w:rPr>
        <w:t>Akademi</w:t>
      </w:r>
      <w:proofErr w:type="spellEnd"/>
    </w:p>
    <w:p w14:paraId="22CD34A1" w14:textId="77777777" w:rsidR="00D122E9" w:rsidRPr="007C0D68" w:rsidRDefault="00D122E9" w:rsidP="00D122E9">
      <w:pPr>
        <w:spacing w:line="360" w:lineRule="atLeast"/>
        <w:rPr>
          <w:rFonts w:ascii="Verdana" w:hAnsi="Verdana" w:cs="Times New Roman"/>
          <w:b/>
          <w:sz w:val="20"/>
          <w:szCs w:val="20"/>
        </w:rPr>
      </w:pPr>
    </w:p>
    <w:sectPr w:rsidR="00D122E9" w:rsidRPr="007C0D68" w:rsidSect="00FA5571">
      <w:headerReference w:type="default" r:id="rId11"/>
      <w:footerReference w:type="even" r:id="rId12"/>
      <w:footerReference w:type="default" r:id="rId13"/>
      <w:pgSz w:w="11900" w:h="16840"/>
      <w:pgMar w:top="3119" w:right="1695" w:bottom="709" w:left="1701" w:header="709" w:footer="709"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88BDA" w14:textId="77777777" w:rsidR="00426A9B" w:rsidRDefault="00426A9B">
      <w:r>
        <w:separator/>
      </w:r>
    </w:p>
  </w:endnote>
  <w:endnote w:type="continuationSeparator" w:id="0">
    <w:p w14:paraId="71B81F66" w14:textId="77777777" w:rsidR="00426A9B" w:rsidRDefault="0042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ingLiU">
    <w:panose1 w:val="02020509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0B003" w14:textId="77777777" w:rsidR="0020599C" w:rsidRDefault="0020599C" w:rsidP="00B468F3">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D5958EE" w14:textId="77777777" w:rsidR="007F4E3C" w:rsidRDefault="007F4E3C">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3CB5" w14:textId="77777777" w:rsidR="0020599C" w:rsidRPr="007C0D68" w:rsidRDefault="0020599C" w:rsidP="001A4986">
    <w:pPr>
      <w:pStyle w:val="Fuzeile"/>
      <w:framePr w:wrap="none" w:vAnchor="text" w:hAnchor="margin" w:xAlign="center" w:y="1"/>
      <w:jc w:val="center"/>
      <w:rPr>
        <w:rStyle w:val="Seitenzahl"/>
        <w:rFonts w:ascii="Verdana" w:hAnsi="Verdana"/>
        <w:sz w:val="20"/>
        <w:szCs w:val="18"/>
      </w:rPr>
    </w:pPr>
    <w:r w:rsidRPr="007C0D68">
      <w:rPr>
        <w:rStyle w:val="Seitenzahl"/>
        <w:rFonts w:ascii="Verdana" w:hAnsi="Verdana"/>
        <w:sz w:val="20"/>
        <w:szCs w:val="18"/>
      </w:rPr>
      <w:fldChar w:fldCharType="begin"/>
    </w:r>
    <w:r w:rsidRPr="007C0D68">
      <w:rPr>
        <w:rStyle w:val="Seitenzahl"/>
        <w:rFonts w:ascii="Verdana" w:hAnsi="Verdana"/>
        <w:sz w:val="20"/>
        <w:szCs w:val="18"/>
      </w:rPr>
      <w:instrText xml:space="preserve">PAGE  </w:instrText>
    </w:r>
    <w:r w:rsidRPr="007C0D68">
      <w:rPr>
        <w:rStyle w:val="Seitenzahl"/>
        <w:rFonts w:ascii="Verdana" w:hAnsi="Verdana"/>
        <w:sz w:val="20"/>
        <w:szCs w:val="18"/>
      </w:rPr>
      <w:fldChar w:fldCharType="separate"/>
    </w:r>
    <w:r w:rsidR="00FA5571">
      <w:rPr>
        <w:rStyle w:val="Seitenzahl"/>
        <w:rFonts w:ascii="Verdana" w:hAnsi="Verdana"/>
        <w:noProof/>
        <w:sz w:val="20"/>
        <w:szCs w:val="18"/>
      </w:rPr>
      <w:t>7</w:t>
    </w:r>
    <w:r w:rsidRPr="007C0D68">
      <w:rPr>
        <w:rStyle w:val="Seitenzahl"/>
        <w:rFonts w:ascii="Verdana" w:hAnsi="Verdana"/>
        <w:sz w:val="20"/>
        <w:szCs w:val="18"/>
      </w:rPr>
      <w:fldChar w:fldCharType="end"/>
    </w:r>
  </w:p>
  <w:p w14:paraId="0B17A8FF" w14:textId="77777777" w:rsidR="007F4E3C" w:rsidRDefault="007F4E3C" w:rsidP="007C0D68">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9E00" w14:textId="77777777" w:rsidR="00426A9B" w:rsidRDefault="00426A9B">
      <w:r>
        <w:separator/>
      </w:r>
    </w:p>
  </w:footnote>
  <w:footnote w:type="continuationSeparator" w:id="0">
    <w:p w14:paraId="1F90EFD4" w14:textId="77777777" w:rsidR="00426A9B" w:rsidRDefault="00426A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DF7AA" w14:textId="77777777" w:rsidR="00ED1BE0" w:rsidRDefault="00557C11" w:rsidP="00E553DC">
    <w:pPr>
      <w:pStyle w:val="Kopfzeile"/>
      <w:ind w:left="284"/>
    </w:pPr>
    <w:r>
      <w:rPr>
        <w:noProof/>
        <w:lang w:eastAsia="de-DE"/>
      </w:rPr>
      <w:drawing>
        <wp:anchor distT="0" distB="0" distL="114300" distR="114300" simplePos="0" relativeHeight="251658240" behindDoc="1" locked="0" layoutInCell="1" allowOverlap="1" wp14:anchorId="6AE96716" wp14:editId="1724B7F2">
          <wp:simplePos x="0" y="0"/>
          <wp:positionH relativeFrom="page">
            <wp:posOffset>-1760</wp:posOffset>
          </wp:positionH>
          <wp:positionV relativeFrom="page">
            <wp:posOffset>0</wp:posOffset>
          </wp:positionV>
          <wp:extent cx="7560000" cy="1548290"/>
          <wp:effectExtent l="25400" t="0" r="9200" b="0"/>
          <wp:wrapNone/>
          <wp:docPr id="1" name="Bild 1" descr="alfred-nissle-gesellshaf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nissle-gesellshaft-BG.jpg"/>
                  <pic:cNvPicPr/>
                </pic:nvPicPr>
                <pic:blipFill>
                  <a:blip r:embed="rId1"/>
                  <a:stretch>
                    <a:fillRect/>
                  </a:stretch>
                </pic:blipFill>
                <pic:spPr>
                  <a:xfrm>
                    <a:off x="0" y="0"/>
                    <a:ext cx="7560000" cy="154829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A0A"/>
    <w:multiLevelType w:val="hybridMultilevel"/>
    <w:tmpl w:val="B17EC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079014A"/>
    <w:multiLevelType w:val="hybridMultilevel"/>
    <w:tmpl w:val="244CF490"/>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
    <w:nsid w:val="64A256D7"/>
    <w:multiLevelType w:val="hybridMultilevel"/>
    <w:tmpl w:val="5854F8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C332812"/>
    <w:multiLevelType w:val="hybridMultilevel"/>
    <w:tmpl w:val="CF80EAC4"/>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08"/>
  <w:hyphenationZone w:val="425"/>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8"/>
    <w:rsid w:val="000116EB"/>
    <w:rsid w:val="00011F1E"/>
    <w:rsid w:val="000178B4"/>
    <w:rsid w:val="00040195"/>
    <w:rsid w:val="00092F14"/>
    <w:rsid w:val="000A0E79"/>
    <w:rsid w:val="000A1D8E"/>
    <w:rsid w:val="00103869"/>
    <w:rsid w:val="00111D58"/>
    <w:rsid w:val="00142B4F"/>
    <w:rsid w:val="0014441C"/>
    <w:rsid w:val="001469B2"/>
    <w:rsid w:val="00152343"/>
    <w:rsid w:val="00155AD4"/>
    <w:rsid w:val="00167031"/>
    <w:rsid w:val="001A4986"/>
    <w:rsid w:val="001C55D0"/>
    <w:rsid w:val="001F5A1F"/>
    <w:rsid w:val="0020599C"/>
    <w:rsid w:val="00265292"/>
    <w:rsid w:val="002C28F8"/>
    <w:rsid w:val="00312D18"/>
    <w:rsid w:val="003163C9"/>
    <w:rsid w:val="00323392"/>
    <w:rsid w:val="00334C8A"/>
    <w:rsid w:val="00350840"/>
    <w:rsid w:val="0037460A"/>
    <w:rsid w:val="00375C60"/>
    <w:rsid w:val="003B0663"/>
    <w:rsid w:val="003E387B"/>
    <w:rsid w:val="00426A9B"/>
    <w:rsid w:val="00446E43"/>
    <w:rsid w:val="0046183D"/>
    <w:rsid w:val="00491648"/>
    <w:rsid w:val="004C731B"/>
    <w:rsid w:val="004D5864"/>
    <w:rsid w:val="004F6D5E"/>
    <w:rsid w:val="00557C11"/>
    <w:rsid w:val="005772AF"/>
    <w:rsid w:val="00584987"/>
    <w:rsid w:val="00593163"/>
    <w:rsid w:val="006074EE"/>
    <w:rsid w:val="00623EE4"/>
    <w:rsid w:val="0062483D"/>
    <w:rsid w:val="00627C4E"/>
    <w:rsid w:val="00696423"/>
    <w:rsid w:val="006A33B6"/>
    <w:rsid w:val="006A4262"/>
    <w:rsid w:val="006B76BD"/>
    <w:rsid w:val="006C20F1"/>
    <w:rsid w:val="006E400C"/>
    <w:rsid w:val="00711A8D"/>
    <w:rsid w:val="00736A83"/>
    <w:rsid w:val="00780674"/>
    <w:rsid w:val="00790C61"/>
    <w:rsid w:val="007A579C"/>
    <w:rsid w:val="007B6F9F"/>
    <w:rsid w:val="007C0D68"/>
    <w:rsid w:val="007C1F8B"/>
    <w:rsid w:val="007E0435"/>
    <w:rsid w:val="007F32B5"/>
    <w:rsid w:val="007F4E3C"/>
    <w:rsid w:val="00807F57"/>
    <w:rsid w:val="00870650"/>
    <w:rsid w:val="008C060B"/>
    <w:rsid w:val="008D228A"/>
    <w:rsid w:val="00934283"/>
    <w:rsid w:val="009765E1"/>
    <w:rsid w:val="00997194"/>
    <w:rsid w:val="009C738F"/>
    <w:rsid w:val="009E5E90"/>
    <w:rsid w:val="009E73B7"/>
    <w:rsid w:val="00A32636"/>
    <w:rsid w:val="00A44FD4"/>
    <w:rsid w:val="00A533BD"/>
    <w:rsid w:val="00A64C01"/>
    <w:rsid w:val="00A74832"/>
    <w:rsid w:val="00AA39AA"/>
    <w:rsid w:val="00AA5849"/>
    <w:rsid w:val="00AB4665"/>
    <w:rsid w:val="00AD21A0"/>
    <w:rsid w:val="00AF2EFA"/>
    <w:rsid w:val="00AF4B87"/>
    <w:rsid w:val="00B310BB"/>
    <w:rsid w:val="00B6208C"/>
    <w:rsid w:val="00BB654A"/>
    <w:rsid w:val="00BC4798"/>
    <w:rsid w:val="00BD5B75"/>
    <w:rsid w:val="00BE3BBE"/>
    <w:rsid w:val="00BF5A6C"/>
    <w:rsid w:val="00C27A7C"/>
    <w:rsid w:val="00C477E9"/>
    <w:rsid w:val="00C47894"/>
    <w:rsid w:val="00C755CB"/>
    <w:rsid w:val="00C76F78"/>
    <w:rsid w:val="00CA32B3"/>
    <w:rsid w:val="00D0355B"/>
    <w:rsid w:val="00D122E9"/>
    <w:rsid w:val="00D25897"/>
    <w:rsid w:val="00D51DD8"/>
    <w:rsid w:val="00D80FB2"/>
    <w:rsid w:val="00DA4B08"/>
    <w:rsid w:val="00DB3DDC"/>
    <w:rsid w:val="00DE3F27"/>
    <w:rsid w:val="00DF5ACE"/>
    <w:rsid w:val="00E168D1"/>
    <w:rsid w:val="00E252D9"/>
    <w:rsid w:val="00E33D19"/>
    <w:rsid w:val="00E553DC"/>
    <w:rsid w:val="00E62D4F"/>
    <w:rsid w:val="00E76326"/>
    <w:rsid w:val="00E83F1C"/>
    <w:rsid w:val="00ED0CA2"/>
    <w:rsid w:val="00ED1BE0"/>
    <w:rsid w:val="00EE5450"/>
    <w:rsid w:val="00F255EA"/>
    <w:rsid w:val="00F44FFA"/>
    <w:rsid w:val="00F45716"/>
    <w:rsid w:val="00F47C92"/>
    <w:rsid w:val="00F51F18"/>
    <w:rsid w:val="00F75392"/>
    <w:rsid w:val="00F93763"/>
    <w:rsid w:val="00FA0892"/>
    <w:rsid w:val="00FA5571"/>
    <w:rsid w:val="00FC1F02"/>
    <w:rsid w:val="00FD6A61"/>
  </w:rsids>
  <m:mathPr>
    <m:mathFont m:val="Cambria Math"/>
    <m:brkBin m:val="before"/>
    <m:brkBinSub m:val="--"/>
    <m:smallFrac/>
    <m:dispDef/>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4F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8C060B"/>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1F18"/>
    <w:pPr>
      <w:tabs>
        <w:tab w:val="center" w:pos="4703"/>
        <w:tab w:val="right" w:pos="9406"/>
      </w:tabs>
    </w:pPr>
  </w:style>
  <w:style w:type="character" w:customStyle="1" w:styleId="KopfzeileZchn">
    <w:name w:val="Kopfzeile Zchn"/>
    <w:basedOn w:val="Absatz-Standardschriftart"/>
    <w:link w:val="Kopfzeile"/>
    <w:uiPriority w:val="99"/>
    <w:rsid w:val="00F51F18"/>
  </w:style>
  <w:style w:type="paragraph" w:styleId="Fuzeile">
    <w:name w:val="footer"/>
    <w:basedOn w:val="Standard"/>
    <w:link w:val="FuzeileZchn"/>
    <w:uiPriority w:val="99"/>
    <w:unhideWhenUsed/>
    <w:rsid w:val="00F51F18"/>
    <w:pPr>
      <w:tabs>
        <w:tab w:val="center" w:pos="4703"/>
        <w:tab w:val="right" w:pos="9406"/>
      </w:tabs>
    </w:pPr>
  </w:style>
  <w:style w:type="character" w:customStyle="1" w:styleId="FuzeileZchn">
    <w:name w:val="Fußzeile Zchn"/>
    <w:basedOn w:val="Absatz-Standardschriftart"/>
    <w:link w:val="Fuzeile"/>
    <w:uiPriority w:val="99"/>
    <w:rsid w:val="00F51F18"/>
  </w:style>
  <w:style w:type="paragraph" w:customStyle="1" w:styleId="EinfAbs">
    <w:name w:val="[Einf. Abs.]"/>
    <w:basedOn w:val="Standard"/>
    <w:uiPriority w:val="99"/>
    <w:rsid w:val="005772AF"/>
    <w:pPr>
      <w:widowControl w:val="0"/>
      <w:autoSpaceDE w:val="0"/>
      <w:autoSpaceDN w:val="0"/>
      <w:adjustRightInd w:val="0"/>
      <w:spacing w:after="113" w:line="360" w:lineRule="atLeast"/>
      <w:textAlignment w:val="center"/>
    </w:pPr>
    <w:rPr>
      <w:rFonts w:ascii="MinionPro-Regular" w:hAnsi="MinionPro-Regular" w:cs="MinionPro-Regular"/>
      <w:color w:val="000000"/>
      <w:spacing w:val="2"/>
    </w:rPr>
  </w:style>
  <w:style w:type="character" w:customStyle="1" w:styleId="bold">
    <w:name w:val="bold"/>
    <w:uiPriority w:val="99"/>
    <w:rsid w:val="005772AF"/>
    <w:rPr>
      <w:b/>
      <w:bCs/>
    </w:rPr>
  </w:style>
  <w:style w:type="paragraph" w:customStyle="1" w:styleId="TitelPressemitteilung">
    <w:name w:val="_Titel Pressemitteilung"/>
    <w:qFormat/>
    <w:rsid w:val="00111D58"/>
    <w:rPr>
      <w:rFonts w:ascii="Times New Roman" w:hAnsi="Times New Roman" w:cs="MinionPro-Regular"/>
      <w:b/>
      <w:color w:val="000000"/>
      <w:spacing w:val="2"/>
    </w:rPr>
  </w:style>
  <w:style w:type="character" w:customStyle="1" w:styleId="italic">
    <w:name w:val="italic"/>
    <w:uiPriority w:val="99"/>
    <w:rsid w:val="00ED1BE0"/>
    <w:rPr>
      <w:i/>
      <w:iCs/>
    </w:rPr>
  </w:style>
  <w:style w:type="paragraph" w:customStyle="1" w:styleId="Pressetext">
    <w:name w:val="_Pressetext"/>
    <w:basedOn w:val="EinfAbs"/>
    <w:qFormat/>
    <w:rsid w:val="00ED1BE0"/>
    <w:rPr>
      <w:rFonts w:ascii="Times New Roman" w:hAnsi="Times New Roman"/>
    </w:rPr>
  </w:style>
  <w:style w:type="paragraph" w:styleId="Sprechblasentext">
    <w:name w:val="Balloon Text"/>
    <w:basedOn w:val="Standard"/>
    <w:link w:val="SprechblasentextZchn"/>
    <w:rsid w:val="00375C60"/>
    <w:rPr>
      <w:rFonts w:ascii="Tahoma" w:hAnsi="Tahoma" w:cs="Tahoma"/>
      <w:sz w:val="16"/>
      <w:szCs w:val="16"/>
    </w:rPr>
  </w:style>
  <w:style w:type="character" w:customStyle="1" w:styleId="SprechblasentextZchn">
    <w:name w:val="Sprechblasentext Zchn"/>
    <w:basedOn w:val="Absatz-Standardschriftart"/>
    <w:link w:val="Sprechblasentext"/>
    <w:rsid w:val="00375C60"/>
    <w:rPr>
      <w:rFonts w:ascii="Tahoma" w:hAnsi="Tahoma" w:cs="Tahoma"/>
      <w:sz w:val="16"/>
      <w:szCs w:val="16"/>
    </w:rPr>
  </w:style>
  <w:style w:type="paragraph" w:styleId="Listenabsatz">
    <w:name w:val="List Paragraph"/>
    <w:basedOn w:val="Standard"/>
    <w:uiPriority w:val="34"/>
    <w:qFormat/>
    <w:rsid w:val="008C060B"/>
    <w:pPr>
      <w:ind w:left="720"/>
      <w:contextualSpacing/>
    </w:pPr>
  </w:style>
  <w:style w:type="character" w:styleId="Kommentarzeichen">
    <w:name w:val="annotation reference"/>
    <w:basedOn w:val="Absatz-Standardschriftart"/>
    <w:uiPriority w:val="99"/>
    <w:semiHidden/>
    <w:unhideWhenUsed/>
    <w:rsid w:val="008C060B"/>
    <w:rPr>
      <w:sz w:val="18"/>
      <w:szCs w:val="18"/>
    </w:rPr>
  </w:style>
  <w:style w:type="paragraph" w:styleId="Kommentartext">
    <w:name w:val="annotation text"/>
    <w:basedOn w:val="Standard"/>
    <w:link w:val="KommentartextZchn"/>
    <w:uiPriority w:val="99"/>
    <w:semiHidden/>
    <w:unhideWhenUsed/>
    <w:rsid w:val="008C06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C060B"/>
  </w:style>
  <w:style w:type="paragraph" w:styleId="Kommentarthema">
    <w:name w:val="annotation subject"/>
    <w:basedOn w:val="Kommentartext"/>
    <w:next w:val="Kommentartext"/>
    <w:link w:val="KommentarthemaZchn"/>
    <w:semiHidden/>
    <w:unhideWhenUsed/>
    <w:rsid w:val="00AF4B87"/>
    <w:rPr>
      <w:b/>
      <w:bCs/>
      <w:sz w:val="20"/>
      <w:szCs w:val="20"/>
    </w:rPr>
  </w:style>
  <w:style w:type="character" w:customStyle="1" w:styleId="KommentarthemaZchn">
    <w:name w:val="Kommentarthema Zchn"/>
    <w:basedOn w:val="KommentartextZchn"/>
    <w:link w:val="Kommentarthema"/>
    <w:semiHidden/>
    <w:rsid w:val="00AF4B87"/>
    <w:rPr>
      <w:b/>
      <w:bCs/>
      <w:sz w:val="20"/>
      <w:szCs w:val="20"/>
    </w:rPr>
  </w:style>
  <w:style w:type="table" w:styleId="Tabellenraster">
    <w:name w:val="Table Grid"/>
    <w:basedOn w:val="NormaleTabelle"/>
    <w:uiPriority w:val="59"/>
    <w:rsid w:val="00D122E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semiHidden/>
    <w:unhideWhenUsed/>
    <w:rsid w:val="0020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B731-41EE-3949-AC69-12CAA745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1801</Words>
  <Characters>11227</Characters>
  <Application>Microsoft Macintosh Word</Application>
  <DocSecurity>0</DocSecurity>
  <Lines>207</Lines>
  <Paragraphs>65</Paragraphs>
  <ScaleCrop>false</ScaleCrop>
  <HeadingPairs>
    <vt:vector size="2" baseType="variant">
      <vt:variant>
        <vt:lpstr>Titel</vt:lpstr>
      </vt:variant>
      <vt:variant>
        <vt:i4>1</vt:i4>
      </vt:variant>
    </vt:vector>
  </HeadingPairs>
  <TitlesOfParts>
    <vt:vector size="1" baseType="lpstr">
      <vt:lpstr/>
    </vt:vector>
  </TitlesOfParts>
  <Manager/>
  <Company>Ammersee Communication</Company>
  <LinksUpToDate>false</LinksUpToDate>
  <CharactersWithSpaces>12963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Schwarz</dc:creator>
  <cp:keywords/>
  <dc:description/>
  <cp:lastModifiedBy>Steffen Schwab</cp:lastModifiedBy>
  <cp:revision>13</cp:revision>
  <cp:lastPrinted>2017-04-24T15:50:00Z</cp:lastPrinted>
  <dcterms:created xsi:type="dcterms:W3CDTF">2017-03-30T13:26:00Z</dcterms:created>
  <dcterms:modified xsi:type="dcterms:W3CDTF">2017-04-24T16:18:00Z</dcterms:modified>
  <cp:category/>
</cp:coreProperties>
</file>